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978"/>
      </w:tblGrid>
      <w:tr>
        <w:tc>
          <w:tcPr>
            <w:tcW w:type="dxa" w:w="9978"/>
            <w:shd w:fill="F4F1EC"/>
            <w:tcBorders>
              <w:top w:val="single" w:sz="0" w:space="0" w:color="F4F1EC"/>
              <w:left w:val="single" w:sz="0" w:space="0" w:color="F4F1EC"/>
              <w:bottom w:val="single" w:sz="0" w:space="0" w:color="F4F1EC"/>
              <w:right w:val="single" w:sz="0" w:space="0" w:color="F4F1EC"/>
            </w:tcBorders>
            <w:tcMar>
              <w:top w:w="240" w:type="dxa"/>
              <w:start w:w="180" w:type="dxa"/>
              <w:bottom w:w="220" w:type="dxa"/>
              <w:end w:w="180" w:type="dxa"/>
            </w:tcMar>
          </w:tcPr>
          <w:p>
            <w:pPr>
              <w:jc w:val="center"/>
            </w:pPr>
            <w:r>
              <w:drawing>
                <wp:inline xmlns:a="http://schemas.openxmlformats.org/drawingml/2006/main" xmlns:pic="http://schemas.openxmlformats.org/drawingml/2006/picture">
                  <wp:extent cx="2880000" cy="1068750"/>
                  <wp:docPr id="1" name="Picture 1"/>
                  <wp:cNvGraphicFramePr>
                    <a:graphicFrameLocks noChangeAspect="1"/>
                  </wp:cNvGraphicFramePr>
                  <a:graphic>
                    <a:graphicData uri="http://schemas.openxmlformats.org/drawingml/2006/picture">
                      <pic:pic>
                        <pic:nvPicPr>
                          <pic:cNvPr id="0" name="logo_wersja_2.png"/>
                          <pic:cNvPicPr/>
                        </pic:nvPicPr>
                        <pic:blipFill>
                          <a:blip r:embed="rId11"/>
                          <a:stretch>
                            <a:fillRect/>
                          </a:stretch>
                        </pic:blipFill>
                        <pic:spPr>
                          <a:xfrm>
                            <a:off x="0" y="0"/>
                            <a:ext cx="2880000" cy="1068750"/>
                          </a:xfrm>
                          <a:prstGeom prst="rect"/>
                        </pic:spPr>
                      </pic:pic>
                    </a:graphicData>
                  </a:graphic>
                </wp:inline>
              </w:drawing>
            </w:r>
          </w:p>
        </w:tc>
      </w:tr>
    </w:tbl>
    <w:p>
      <w:pPr>
        <w:spacing w:before="560"/>
        <w:jc w:val="center"/>
      </w:pPr>
      <w:r>
        <w:rPr>
          <w:rFonts w:ascii="Georgia" w:hAnsi="Georgia"/>
          <w:b/>
          <w:color w:val="1B3A4B"/>
          <w:sz w:val="52"/>
        </w:rPr>
        <w:t>Polityka cookies</w:t>
      </w:r>
    </w:p>
    <w:p>
      <w:pPr>
        <w:jc w:val="center"/>
      </w:pPr>
      <w:r>
        <w:rPr>
          <w:rFonts w:ascii="Arial" w:hAnsi="Arial"/>
          <w:color w:val="2A6070"/>
          <w:sz w:val="24"/>
        </w:rPr>
        <w:t>i technologii podobnych w serwisie Bliska Psychologia</w:t>
      </w:r>
    </w:p>
    <w:p>
      <w:pPr>
        <w:spacing w:before="440"/>
        <w:jc w:val="center"/>
      </w:pPr>
      <w:r>
        <w:rPr>
          <w:rFonts w:ascii="Arial" w:hAnsi="Arial"/>
          <w:color w:val="1B2E38"/>
          <w:sz w:val="20"/>
        </w:rPr>
        <w:t>Bliska Psychologia - Grzegorz Żurek</w:t>
      </w:r>
      <w:r>
        <w:br/>
      </w:r>
      <w:r>
        <w:rPr>
          <w:rFonts w:ascii="Arial" w:hAnsi="Arial"/>
          <w:color w:val="1B2E38"/>
          <w:sz w:val="20"/>
        </w:rPr>
        <w:t>ul. Wałowa 14a, 84-230 Rumia | NIP 5882457499 | REGON 385892520</w:t>
      </w:r>
      <w:r>
        <w:br/>
      </w:r>
      <w:r>
        <w:rPr>
          <w:rFonts w:ascii="Arial" w:hAnsi="Arial"/>
          <w:color w:val="6E7F89"/>
          <w:sz w:val="20"/>
        </w:rPr>
        <w:t>Wersja 1.0 | Data dokumentu: 15 maja 2026</w:t>
      </w:r>
      <w:r>
        <w:br/>
      </w:r>
      <w:r>
        <w:rPr>
          <w:rFonts w:ascii="Arial" w:hAnsi="Arial"/>
          <w:color w:val="6E7F89"/>
          <w:sz w:val="20"/>
        </w:rPr>
        <w:t>Kontakt: kontakt@bliskapsychologia.pl</w:t>
      </w:r>
    </w:p>
    <w:tbl>
      <w:tblPr>
        <w:tblW w:type="auto" w:w="0"/>
        <w:jc w:val="center"/>
        <w:tblLook w:firstColumn="1" w:firstRow="1" w:lastColumn="0" w:lastRow="0" w:noHBand="0" w:noVBand="1" w:val="04A0"/>
      </w:tblPr>
      <w:tblGrid>
        <w:gridCol w:w="9978"/>
      </w:tblGrid>
      <w:tr>
        <w:tc>
          <w:tcPr>
            <w:tcW w:type="dxa" w:w="9978"/>
            <w:shd w:fill="E8F4F6"/>
            <w:tcBorders>
              <w:top w:val="single" w:sz="8" w:space="0" w:color="D9E2E4"/>
              <w:left w:val="single" w:sz="8" w:space="0" w:color="D9E2E4"/>
              <w:bottom w:val="single" w:sz="8" w:space="0" w:color="D9E2E4"/>
              <w:right w:val="single" w:sz="8" w:space="0" w:color="D9E2E4"/>
            </w:tcBorders>
            <w:tcMar>
              <w:top w:w="180" w:type="dxa"/>
              <w:start w:w="220" w:type="dxa"/>
              <w:bottom w:w="180" w:type="dxa"/>
              <w:end w:w="220" w:type="dxa"/>
            </w:tcMar>
          </w:tcPr>
          <w:p>
            <w:pPr>
              <w:jc w:val="left"/>
            </w:pPr>
            <w:r>
              <w:rPr>
                <w:rFonts w:ascii="Arial" w:hAnsi="Arial"/>
                <w:b/>
                <w:color w:val="1B3A4B"/>
                <w:sz w:val="19"/>
              </w:rPr>
              <w:t>Zakres dokumentu</w:t>
            </w:r>
            <w:r>
              <w:br/>
            </w:r>
            <w:r>
              <w:rPr>
                <w:rFonts w:ascii="Arial" w:hAnsi="Arial"/>
                <w:color w:val="1B2E38"/>
                <w:sz w:val="19"/>
              </w:rPr>
              <w:t>Dokument jest przygotowany jako wersja publikacyjna dla serwisu Bliska Psychologia. Opisuje obecny model: konto użytkownika, testy, raporty premium HTML, konsultacje online, płatności, fakturowanie przez specjalistę przy konsultacjach prowadzonych przez specjalistę, szyfrowany komunikator oraz planowane użycie newslettera i narzędzi analitycznych Google.</w:t>
            </w:r>
          </w:p>
        </w:tc>
      </w:tr>
    </w:tbl>
    <w:p>
      <w:r>
        <w:br w:type="page"/>
      </w:r>
    </w:p>
    <w:tbl>
      <w:tblPr>
        <w:tblW w:type="auto" w:w="0"/>
        <w:jc w:val="center"/>
        <w:tblLayout w:type="fixed"/>
        <w:tblLook w:firstColumn="1" w:firstRow="1" w:lastColumn="0" w:lastRow="0" w:noHBand="0" w:noVBand="1" w:val="04A0"/>
      </w:tblPr>
      <w:tblGrid>
        <w:gridCol w:w="2891"/>
        <w:gridCol w:w="6917"/>
      </w:tblGrid>
      <w:tr>
        <w:tc>
          <w:tcPr>
            <w:tcW w:type="dxa" w:w="4989"/>
            <w:shd w:fill="1B3A4B"/>
            <w:tcBorders>
              <w:top w:val="single" w:sz="6" w:space="0" w:color="1B3A4B"/>
              <w:left w:val="single" w:sz="6" w:space="0" w:color="1B3A4B"/>
              <w:bottom w:val="single" w:sz="6" w:space="0" w:color="1B3A4B"/>
              <w:right w:val="single" w:sz="6" w:space="0" w:color="1B3A4B"/>
            </w:tcBorders>
          </w:tcPr>
          <w:p>
            <w:pPr>
              <w:spacing w:after="0" w:line="252" w:lineRule="auto"/>
            </w:pPr>
            <w:r>
              <w:rPr>
                <w:rFonts w:ascii="Arial" w:hAnsi="Arial"/>
                <w:b/>
                <w:color w:val="FFFFFF"/>
                <w:sz w:val="19"/>
              </w:rPr>
              <w:t>Pole</w:t>
            </w:r>
          </w:p>
        </w:tc>
        <w:tc>
          <w:tcPr>
            <w:tcW w:type="dxa" w:w="4989"/>
            <w:shd w:fill="1B3A4B"/>
            <w:tcBorders>
              <w:top w:val="single" w:sz="6" w:space="0" w:color="1B3A4B"/>
              <w:left w:val="single" w:sz="6" w:space="0" w:color="1B3A4B"/>
              <w:bottom w:val="single" w:sz="6" w:space="0" w:color="1B3A4B"/>
              <w:right w:val="single" w:sz="6" w:space="0" w:color="1B3A4B"/>
            </w:tcBorders>
          </w:tcPr>
          <w:p>
            <w:pPr>
              <w:spacing w:after="0" w:line="252" w:lineRule="auto"/>
            </w:pPr>
            <w:r>
              <w:rPr>
                <w:rFonts w:ascii="Arial" w:hAnsi="Arial"/>
                <w:b/>
                <w:color w:val="FFFFFF"/>
                <w:sz w:val="19"/>
              </w:rPr>
              <w:t>Treść</w:t>
            </w:r>
          </w:p>
        </w:tc>
      </w:tr>
      <w:tr>
        <w:tc>
          <w:tcPr>
            <w:tcW w:type="dxa" w:w="2891"/>
            <w:shd w:fill="F4F1EC"/>
            <w:tcBorders>
              <w:top w:val="single" w:sz="6" w:space="0" w:color="D9E2E4"/>
              <w:left w:val="single" w:sz="6" w:space="0" w:color="D9E2E4"/>
              <w:bottom w:val="single" w:sz="6" w:space="0" w:color="D9E2E4"/>
              <w:right w:val="single" w:sz="6" w:space="0" w:color="D9E2E4"/>
            </w:tcBorders>
            <w:tcMar>
              <w:top w:w="90" w:type="dxa"/>
              <w:start w:w="110" w:type="dxa"/>
              <w:bottom w:w="90" w:type="dxa"/>
              <w:end w:w="110" w:type="dxa"/>
            </w:tcMar>
            <w:vAlign w:val="top"/>
          </w:tcPr>
          <w:p>
            <w:pPr>
              <w:spacing w:after="0" w:line="252" w:lineRule="auto"/>
            </w:pPr>
            <w:r>
              <w:rPr>
                <w:rFonts w:ascii="Arial" w:hAnsi="Arial"/>
                <w:b/>
                <w:color w:val="1B2E38"/>
                <w:sz w:val="17"/>
              </w:rPr>
              <w:t>Dokument</w:t>
            </w:r>
          </w:p>
        </w:tc>
        <w:tc>
          <w:tcPr>
            <w:tcW w:type="dxa" w:w="6917"/>
            <w:tcBorders>
              <w:top w:val="single" w:sz="6" w:space="0" w:color="D9E2E4"/>
              <w:left w:val="single" w:sz="6" w:space="0" w:color="D9E2E4"/>
              <w:bottom w:val="single" w:sz="6" w:space="0" w:color="D9E2E4"/>
              <w:right w:val="single" w:sz="6" w:space="0" w:color="D9E2E4"/>
            </w:tcBorders>
            <w:tcMar>
              <w:top w:w="90" w:type="dxa"/>
              <w:start w:w="110" w:type="dxa"/>
              <w:bottom w:w="90" w:type="dxa"/>
              <w:end w:w="110" w:type="dxa"/>
            </w:tcMar>
            <w:vAlign w:val="top"/>
          </w:tcPr>
          <w:p>
            <w:pPr>
              <w:spacing w:after="0" w:line="252" w:lineRule="auto"/>
            </w:pPr>
            <w:r>
              <w:rPr>
                <w:rFonts w:ascii="Arial" w:hAnsi="Arial"/>
                <w:b w:val="0"/>
                <w:color w:val="1B2E38"/>
                <w:sz w:val="17"/>
              </w:rPr>
              <w:t>Polityka cookies i technologii podobnych</w:t>
            </w:r>
          </w:p>
        </w:tc>
      </w:tr>
      <w:tr>
        <w:tc>
          <w:tcPr>
            <w:tcW w:type="dxa" w:w="2891"/>
            <w:shd w:fill="F4F1EC"/>
            <w:tcBorders>
              <w:top w:val="single" w:sz="6" w:space="0" w:color="D9E2E4"/>
              <w:left w:val="single" w:sz="6" w:space="0" w:color="D9E2E4"/>
              <w:bottom w:val="single" w:sz="6" w:space="0" w:color="D9E2E4"/>
              <w:right w:val="single" w:sz="6" w:space="0" w:color="D9E2E4"/>
            </w:tcBorders>
            <w:tcMar>
              <w:top w:w="90" w:type="dxa"/>
              <w:start w:w="110" w:type="dxa"/>
              <w:bottom w:w="90" w:type="dxa"/>
              <w:end w:w="110" w:type="dxa"/>
            </w:tcMar>
            <w:vAlign w:val="top"/>
          </w:tcPr>
          <w:p>
            <w:pPr>
              <w:spacing w:after="0" w:line="252" w:lineRule="auto"/>
            </w:pPr>
            <w:r>
              <w:rPr>
                <w:rFonts w:ascii="Arial" w:hAnsi="Arial"/>
                <w:b/>
                <w:color w:val="1B2E38"/>
                <w:sz w:val="17"/>
              </w:rPr>
              <w:t>Serwis</w:t>
            </w:r>
          </w:p>
        </w:tc>
        <w:tc>
          <w:tcPr>
            <w:tcW w:type="dxa" w:w="6917"/>
            <w:tcBorders>
              <w:top w:val="single" w:sz="6" w:space="0" w:color="D9E2E4"/>
              <w:left w:val="single" w:sz="6" w:space="0" w:color="D9E2E4"/>
              <w:bottom w:val="single" w:sz="6" w:space="0" w:color="D9E2E4"/>
              <w:right w:val="single" w:sz="6" w:space="0" w:color="D9E2E4"/>
            </w:tcBorders>
            <w:tcMar>
              <w:top w:w="90" w:type="dxa"/>
              <w:start w:w="110" w:type="dxa"/>
              <w:bottom w:w="90" w:type="dxa"/>
              <w:end w:w="110" w:type="dxa"/>
            </w:tcMar>
            <w:vAlign w:val="top"/>
          </w:tcPr>
          <w:p>
            <w:pPr>
              <w:spacing w:after="0" w:line="252" w:lineRule="auto"/>
            </w:pPr>
            <w:r>
              <w:rPr>
                <w:rFonts w:ascii="Arial" w:hAnsi="Arial"/>
                <w:b w:val="0"/>
                <w:color w:val="1B2E38"/>
                <w:sz w:val="17"/>
              </w:rPr>
              <w:t>https://bliskapsychologia.pl/</w:t>
            </w:r>
          </w:p>
        </w:tc>
      </w:tr>
      <w:tr>
        <w:tc>
          <w:tcPr>
            <w:tcW w:type="dxa" w:w="2891"/>
            <w:shd w:fill="F4F1EC"/>
            <w:tcBorders>
              <w:top w:val="single" w:sz="6" w:space="0" w:color="D9E2E4"/>
              <w:left w:val="single" w:sz="6" w:space="0" w:color="D9E2E4"/>
              <w:bottom w:val="single" w:sz="6" w:space="0" w:color="D9E2E4"/>
              <w:right w:val="single" w:sz="6" w:space="0" w:color="D9E2E4"/>
            </w:tcBorders>
            <w:tcMar>
              <w:top w:w="90" w:type="dxa"/>
              <w:start w:w="110" w:type="dxa"/>
              <w:bottom w:w="90" w:type="dxa"/>
              <w:end w:w="110" w:type="dxa"/>
            </w:tcMar>
            <w:vAlign w:val="top"/>
          </w:tcPr>
          <w:p>
            <w:pPr>
              <w:spacing w:after="0" w:line="252" w:lineRule="auto"/>
            </w:pPr>
            <w:r>
              <w:rPr>
                <w:rFonts w:ascii="Arial" w:hAnsi="Arial"/>
                <w:b/>
                <w:color w:val="1B2E38"/>
                <w:sz w:val="17"/>
              </w:rPr>
              <w:t>Administrator</w:t>
            </w:r>
          </w:p>
        </w:tc>
        <w:tc>
          <w:tcPr>
            <w:tcW w:type="dxa" w:w="6917"/>
            <w:tcBorders>
              <w:top w:val="single" w:sz="6" w:space="0" w:color="D9E2E4"/>
              <w:left w:val="single" w:sz="6" w:space="0" w:color="D9E2E4"/>
              <w:bottom w:val="single" w:sz="6" w:space="0" w:color="D9E2E4"/>
              <w:right w:val="single" w:sz="6" w:space="0" w:color="D9E2E4"/>
            </w:tcBorders>
            <w:tcMar>
              <w:top w:w="90" w:type="dxa"/>
              <w:start w:w="110" w:type="dxa"/>
              <w:bottom w:w="90" w:type="dxa"/>
              <w:end w:w="110" w:type="dxa"/>
            </w:tcMar>
            <w:vAlign w:val="top"/>
          </w:tcPr>
          <w:p>
            <w:pPr>
              <w:spacing w:after="0" w:line="252" w:lineRule="auto"/>
            </w:pPr>
            <w:r>
              <w:rPr>
                <w:rFonts w:ascii="Arial" w:hAnsi="Arial"/>
                <w:b w:val="0"/>
                <w:color w:val="1B2E38"/>
                <w:sz w:val="17"/>
              </w:rPr>
              <w:t>Bliska Psychologia - Grzegorz Żurek</w:t>
            </w:r>
          </w:p>
        </w:tc>
      </w:tr>
      <w:tr>
        <w:tc>
          <w:tcPr>
            <w:tcW w:type="dxa" w:w="2891"/>
            <w:shd w:fill="F4F1EC"/>
            <w:tcBorders>
              <w:top w:val="single" w:sz="6" w:space="0" w:color="D9E2E4"/>
              <w:left w:val="single" w:sz="6" w:space="0" w:color="D9E2E4"/>
              <w:bottom w:val="single" w:sz="6" w:space="0" w:color="D9E2E4"/>
              <w:right w:val="single" w:sz="6" w:space="0" w:color="D9E2E4"/>
            </w:tcBorders>
            <w:tcMar>
              <w:top w:w="90" w:type="dxa"/>
              <w:start w:w="110" w:type="dxa"/>
              <w:bottom w:w="90" w:type="dxa"/>
              <w:end w:w="110" w:type="dxa"/>
            </w:tcMar>
            <w:vAlign w:val="top"/>
          </w:tcPr>
          <w:p>
            <w:pPr>
              <w:spacing w:after="0" w:line="252" w:lineRule="auto"/>
            </w:pPr>
            <w:r>
              <w:rPr>
                <w:rFonts w:ascii="Arial" w:hAnsi="Arial"/>
                <w:b/>
                <w:color w:val="1B2E38"/>
                <w:sz w:val="17"/>
              </w:rPr>
              <w:t>Zakres</w:t>
            </w:r>
          </w:p>
        </w:tc>
        <w:tc>
          <w:tcPr>
            <w:tcW w:type="dxa" w:w="6917"/>
            <w:tcBorders>
              <w:top w:val="single" w:sz="6" w:space="0" w:color="D9E2E4"/>
              <w:left w:val="single" w:sz="6" w:space="0" w:color="D9E2E4"/>
              <w:bottom w:val="single" w:sz="6" w:space="0" w:color="D9E2E4"/>
              <w:right w:val="single" w:sz="6" w:space="0" w:color="D9E2E4"/>
            </w:tcBorders>
            <w:tcMar>
              <w:top w:w="90" w:type="dxa"/>
              <w:start w:w="110" w:type="dxa"/>
              <w:bottom w:w="90" w:type="dxa"/>
              <w:end w:w="110" w:type="dxa"/>
            </w:tcMar>
            <w:vAlign w:val="top"/>
          </w:tcPr>
          <w:p>
            <w:pPr>
              <w:spacing w:after="0" w:line="252" w:lineRule="auto"/>
            </w:pPr>
            <w:r>
              <w:rPr>
                <w:rFonts w:ascii="Arial" w:hAnsi="Arial"/>
                <w:b w:val="0"/>
                <w:color w:val="1B2E38"/>
                <w:sz w:val="17"/>
              </w:rPr>
              <w:t>cookies, localStorage, sessionStorage, identyfikatory sesji, narzędzia analityczne Google po aktywacji, elementy bezpieczeństwa, koszyk/płatności, panel użytkownika i komunikator</w:t>
            </w:r>
          </w:p>
        </w:tc>
      </w:tr>
      <w:tr>
        <w:tc>
          <w:tcPr>
            <w:tcW w:type="dxa" w:w="2891"/>
            <w:shd w:fill="F4F1EC"/>
            <w:tcBorders>
              <w:top w:val="single" w:sz="6" w:space="0" w:color="D9E2E4"/>
              <w:left w:val="single" w:sz="6" w:space="0" w:color="D9E2E4"/>
              <w:bottom w:val="single" w:sz="6" w:space="0" w:color="D9E2E4"/>
              <w:right w:val="single" w:sz="6" w:space="0" w:color="D9E2E4"/>
            </w:tcBorders>
            <w:tcMar>
              <w:top w:w="90" w:type="dxa"/>
              <w:start w:w="110" w:type="dxa"/>
              <w:bottom w:w="90" w:type="dxa"/>
              <w:end w:w="110" w:type="dxa"/>
            </w:tcMar>
            <w:vAlign w:val="top"/>
          </w:tcPr>
          <w:p>
            <w:pPr>
              <w:spacing w:after="0" w:line="252" w:lineRule="auto"/>
            </w:pPr>
            <w:r>
              <w:rPr>
                <w:rFonts w:ascii="Arial" w:hAnsi="Arial"/>
                <w:b/>
                <w:color w:val="1B2E38"/>
                <w:sz w:val="17"/>
              </w:rPr>
              <w:t>Relacja do polityki prywatności</w:t>
            </w:r>
          </w:p>
        </w:tc>
        <w:tc>
          <w:tcPr>
            <w:tcW w:type="dxa" w:w="6917"/>
            <w:tcBorders>
              <w:top w:val="single" w:sz="6" w:space="0" w:color="D9E2E4"/>
              <w:left w:val="single" w:sz="6" w:space="0" w:color="D9E2E4"/>
              <w:bottom w:val="single" w:sz="6" w:space="0" w:color="D9E2E4"/>
              <w:right w:val="single" w:sz="6" w:space="0" w:color="D9E2E4"/>
            </w:tcBorders>
            <w:tcMar>
              <w:top w:w="90" w:type="dxa"/>
              <w:start w:w="110" w:type="dxa"/>
              <w:bottom w:w="90" w:type="dxa"/>
              <w:end w:w="110" w:type="dxa"/>
            </w:tcMar>
            <w:vAlign w:val="top"/>
          </w:tcPr>
          <w:p>
            <w:pPr>
              <w:spacing w:after="0" w:line="252" w:lineRule="auto"/>
            </w:pPr>
            <w:r>
              <w:rPr>
                <w:rFonts w:ascii="Arial" w:hAnsi="Arial"/>
                <w:b w:val="0"/>
                <w:color w:val="1B2E38"/>
                <w:sz w:val="17"/>
              </w:rPr>
              <w:t>Ten dokument uzupełnia Politykę prywatności i opisuje technologie zapisywane w urządzeniu użytkownika albo umożliwiające dostęp do informacji już zapisanych w urządzeniu.</w:t>
            </w:r>
          </w:p>
        </w:tc>
      </w:tr>
    </w:tbl>
    <w:p/>
    <w:p>
      <w:pPr>
        <w:pStyle w:val="Heading1"/>
        <w:jc w:val="left"/>
      </w:pPr>
      <w:r>
        <w:t>Spis treści</w:t>
      </w:r>
    </w:p>
    <w:tbl>
      <w:tblPr>
        <w:tblW w:type="auto" w:w="0"/>
        <w:jc w:val="center"/>
        <w:tblLook w:firstColumn="1" w:firstRow="1" w:lastColumn="0" w:lastRow="0" w:noHBand="0" w:noVBand="1" w:val="04A0"/>
      </w:tblPr>
      <w:tblGrid>
        <w:gridCol w:w="9978"/>
      </w:tblGrid>
      <w:tr>
        <w:tc>
          <w:tcPr>
            <w:tcW w:type="dxa" w:w="9978"/>
            <w:shd w:fill="FDFCFA"/>
            <w:tcBorders>
              <w:top w:val="single" w:sz="4" w:space="0" w:color="D9E2E4"/>
              <w:left w:val="single" w:sz="4" w:space="0" w:color="D9E2E4"/>
              <w:bottom w:val="single" w:sz="4" w:space="0" w:color="D9E2E4"/>
              <w:right w:val="single" w:sz="4" w:space="0" w:color="D9E2E4"/>
            </w:tcBorders>
            <w:tcMar>
              <w:top w:w="70" w:type="dxa"/>
              <w:start w:w="150" w:type="dxa"/>
              <w:bottom w:w="70" w:type="dxa"/>
              <w:end w:w="150" w:type="dxa"/>
            </w:tcMar>
          </w:tcPr>
          <w:p>
            <w:r>
              <w:rPr>
                <w:rFonts w:ascii="Arial" w:hAnsi="Arial"/>
                <w:b w:val="0"/>
                <w:color w:val="1B2E38"/>
                <w:sz w:val="19"/>
              </w:rPr>
              <w:t>1. Czym są cookies i podobne technologie</w:t>
            </w:r>
          </w:p>
        </w:tc>
      </w:tr>
      <w:tr>
        <w:tc>
          <w:tcPr>
            <w:tcW w:type="dxa" w:w="9978"/>
            <w:shd w:fill="F4F1EC"/>
            <w:tcBorders>
              <w:top w:val="single" w:sz="4" w:space="0" w:color="D9E2E4"/>
              <w:left w:val="single" w:sz="4" w:space="0" w:color="D9E2E4"/>
              <w:bottom w:val="single" w:sz="4" w:space="0" w:color="D9E2E4"/>
              <w:right w:val="single" w:sz="4" w:space="0" w:color="D9E2E4"/>
            </w:tcBorders>
            <w:tcMar>
              <w:top w:w="70" w:type="dxa"/>
              <w:start w:w="150" w:type="dxa"/>
              <w:bottom w:w="70" w:type="dxa"/>
              <w:end w:w="150" w:type="dxa"/>
            </w:tcMar>
          </w:tcPr>
          <w:p>
            <w:r>
              <w:rPr>
                <w:rFonts w:ascii="Arial" w:hAnsi="Arial"/>
                <w:b w:val="0"/>
                <w:color w:val="1B2E38"/>
                <w:sz w:val="19"/>
              </w:rPr>
              <w:t>2. Podstawa prawna i zgoda</w:t>
            </w:r>
          </w:p>
        </w:tc>
      </w:tr>
      <w:tr>
        <w:tc>
          <w:tcPr>
            <w:tcW w:type="dxa" w:w="9978"/>
            <w:shd w:fill="FDFCFA"/>
            <w:tcBorders>
              <w:top w:val="single" w:sz="4" w:space="0" w:color="D9E2E4"/>
              <w:left w:val="single" w:sz="4" w:space="0" w:color="D9E2E4"/>
              <w:bottom w:val="single" w:sz="4" w:space="0" w:color="D9E2E4"/>
              <w:right w:val="single" w:sz="4" w:space="0" w:color="D9E2E4"/>
            </w:tcBorders>
            <w:tcMar>
              <w:top w:w="70" w:type="dxa"/>
              <w:start w:w="150" w:type="dxa"/>
              <w:bottom w:w="70" w:type="dxa"/>
              <w:end w:w="150" w:type="dxa"/>
            </w:tcMar>
          </w:tcPr>
          <w:p>
            <w:r>
              <w:rPr>
                <w:rFonts w:ascii="Arial" w:hAnsi="Arial"/>
                <w:b w:val="0"/>
                <w:color w:val="1B2E38"/>
                <w:sz w:val="19"/>
              </w:rPr>
              <w:t>3. Kategorie technologii w Serwisie</w:t>
            </w:r>
          </w:p>
        </w:tc>
      </w:tr>
      <w:tr>
        <w:tc>
          <w:tcPr>
            <w:tcW w:type="dxa" w:w="9978"/>
            <w:shd w:fill="F4F1EC"/>
            <w:tcBorders>
              <w:top w:val="single" w:sz="4" w:space="0" w:color="D9E2E4"/>
              <w:left w:val="single" w:sz="4" w:space="0" w:color="D9E2E4"/>
              <w:bottom w:val="single" w:sz="4" w:space="0" w:color="D9E2E4"/>
              <w:right w:val="single" w:sz="4" w:space="0" w:color="D9E2E4"/>
            </w:tcBorders>
            <w:tcMar>
              <w:top w:w="70" w:type="dxa"/>
              <w:start w:w="150" w:type="dxa"/>
              <w:bottom w:w="70" w:type="dxa"/>
              <w:end w:w="150" w:type="dxa"/>
            </w:tcMar>
          </w:tcPr>
          <w:p>
            <w:r>
              <w:rPr>
                <w:rFonts w:ascii="Arial" w:hAnsi="Arial"/>
                <w:b w:val="0"/>
                <w:color w:val="1B2E38"/>
                <w:sz w:val="19"/>
              </w:rPr>
              <w:t>4. Cookies niezbędne</w:t>
            </w:r>
          </w:p>
        </w:tc>
      </w:tr>
      <w:tr>
        <w:tc>
          <w:tcPr>
            <w:tcW w:type="dxa" w:w="9978"/>
            <w:shd w:fill="FDFCFA"/>
            <w:tcBorders>
              <w:top w:val="single" w:sz="4" w:space="0" w:color="D9E2E4"/>
              <w:left w:val="single" w:sz="4" w:space="0" w:color="D9E2E4"/>
              <w:bottom w:val="single" w:sz="4" w:space="0" w:color="D9E2E4"/>
              <w:right w:val="single" w:sz="4" w:space="0" w:color="D9E2E4"/>
            </w:tcBorders>
            <w:tcMar>
              <w:top w:w="70" w:type="dxa"/>
              <w:start w:w="150" w:type="dxa"/>
              <w:bottom w:w="70" w:type="dxa"/>
              <w:end w:w="150" w:type="dxa"/>
            </w:tcMar>
          </w:tcPr>
          <w:p>
            <w:r>
              <w:rPr>
                <w:rFonts w:ascii="Arial" w:hAnsi="Arial"/>
                <w:b w:val="0"/>
                <w:color w:val="1B2E38"/>
                <w:sz w:val="19"/>
              </w:rPr>
              <w:t>5. Analityka Google po aktywacji</w:t>
            </w:r>
          </w:p>
        </w:tc>
      </w:tr>
      <w:tr>
        <w:tc>
          <w:tcPr>
            <w:tcW w:type="dxa" w:w="9978"/>
            <w:shd w:fill="F4F1EC"/>
            <w:tcBorders>
              <w:top w:val="single" w:sz="4" w:space="0" w:color="D9E2E4"/>
              <w:left w:val="single" w:sz="4" w:space="0" w:color="D9E2E4"/>
              <w:bottom w:val="single" w:sz="4" w:space="0" w:color="D9E2E4"/>
              <w:right w:val="single" w:sz="4" w:space="0" w:color="D9E2E4"/>
            </w:tcBorders>
            <w:tcMar>
              <w:top w:w="70" w:type="dxa"/>
              <w:start w:w="150" w:type="dxa"/>
              <w:bottom w:w="70" w:type="dxa"/>
              <w:end w:w="150" w:type="dxa"/>
            </w:tcMar>
          </w:tcPr>
          <w:p>
            <w:r>
              <w:rPr>
                <w:rFonts w:ascii="Arial" w:hAnsi="Arial"/>
                <w:b w:val="0"/>
                <w:color w:val="1B2E38"/>
                <w:sz w:val="19"/>
              </w:rPr>
              <w:t>6. Marketing i newsletter</w:t>
            </w:r>
          </w:p>
        </w:tc>
      </w:tr>
      <w:tr>
        <w:tc>
          <w:tcPr>
            <w:tcW w:type="dxa" w:w="9978"/>
            <w:shd w:fill="FDFCFA"/>
            <w:tcBorders>
              <w:top w:val="single" w:sz="4" w:space="0" w:color="D9E2E4"/>
              <w:left w:val="single" w:sz="4" w:space="0" w:color="D9E2E4"/>
              <w:bottom w:val="single" w:sz="4" w:space="0" w:color="D9E2E4"/>
              <w:right w:val="single" w:sz="4" w:space="0" w:color="D9E2E4"/>
            </w:tcBorders>
            <w:tcMar>
              <w:top w:w="70" w:type="dxa"/>
              <w:start w:w="150" w:type="dxa"/>
              <w:bottom w:w="70" w:type="dxa"/>
              <w:end w:w="150" w:type="dxa"/>
            </w:tcMar>
          </w:tcPr>
          <w:p>
            <w:r>
              <w:rPr>
                <w:rFonts w:ascii="Arial" w:hAnsi="Arial"/>
                <w:b w:val="0"/>
                <w:color w:val="1B2E38"/>
                <w:sz w:val="19"/>
              </w:rPr>
              <w:t>7. LocalStorage, sessionStorage i komunikator</w:t>
            </w:r>
          </w:p>
        </w:tc>
      </w:tr>
      <w:tr>
        <w:tc>
          <w:tcPr>
            <w:tcW w:type="dxa" w:w="9978"/>
            <w:shd w:fill="F4F1EC"/>
            <w:tcBorders>
              <w:top w:val="single" w:sz="4" w:space="0" w:color="D9E2E4"/>
              <w:left w:val="single" w:sz="4" w:space="0" w:color="D9E2E4"/>
              <w:bottom w:val="single" w:sz="4" w:space="0" w:color="D9E2E4"/>
              <w:right w:val="single" w:sz="4" w:space="0" w:color="D9E2E4"/>
            </w:tcBorders>
            <w:tcMar>
              <w:top w:w="70" w:type="dxa"/>
              <w:start w:w="150" w:type="dxa"/>
              <w:bottom w:w="70" w:type="dxa"/>
              <w:end w:w="150" w:type="dxa"/>
            </w:tcMar>
          </w:tcPr>
          <w:p>
            <w:r>
              <w:rPr>
                <w:rFonts w:ascii="Arial" w:hAnsi="Arial"/>
                <w:b w:val="0"/>
                <w:color w:val="1B2E38"/>
                <w:sz w:val="19"/>
              </w:rPr>
              <w:t>8. Zewnętrzne usługi i przekierowania</w:t>
            </w:r>
          </w:p>
        </w:tc>
      </w:tr>
      <w:tr>
        <w:tc>
          <w:tcPr>
            <w:tcW w:type="dxa" w:w="9978"/>
            <w:shd w:fill="FDFCFA"/>
            <w:tcBorders>
              <w:top w:val="single" w:sz="4" w:space="0" w:color="D9E2E4"/>
              <w:left w:val="single" w:sz="4" w:space="0" w:color="D9E2E4"/>
              <w:bottom w:val="single" w:sz="4" w:space="0" w:color="D9E2E4"/>
              <w:right w:val="single" w:sz="4" w:space="0" w:color="D9E2E4"/>
            </w:tcBorders>
            <w:tcMar>
              <w:top w:w="70" w:type="dxa"/>
              <w:start w:w="150" w:type="dxa"/>
              <w:bottom w:w="70" w:type="dxa"/>
              <w:end w:w="150" w:type="dxa"/>
            </w:tcMar>
          </w:tcPr>
          <w:p>
            <w:r>
              <w:rPr>
                <w:rFonts w:ascii="Arial" w:hAnsi="Arial"/>
                <w:b w:val="0"/>
                <w:color w:val="1B2E38"/>
                <w:sz w:val="19"/>
              </w:rPr>
              <w:t>9. Jak działa baner zgód</w:t>
            </w:r>
          </w:p>
        </w:tc>
      </w:tr>
      <w:tr>
        <w:tc>
          <w:tcPr>
            <w:tcW w:type="dxa" w:w="9978"/>
            <w:shd w:fill="F4F1EC"/>
            <w:tcBorders>
              <w:top w:val="single" w:sz="4" w:space="0" w:color="D9E2E4"/>
              <w:left w:val="single" w:sz="4" w:space="0" w:color="D9E2E4"/>
              <w:bottom w:val="single" w:sz="4" w:space="0" w:color="D9E2E4"/>
              <w:right w:val="single" w:sz="4" w:space="0" w:color="D9E2E4"/>
            </w:tcBorders>
            <w:tcMar>
              <w:top w:w="70" w:type="dxa"/>
              <w:start w:w="150" w:type="dxa"/>
              <w:bottom w:w="70" w:type="dxa"/>
              <w:end w:w="150" w:type="dxa"/>
            </w:tcMar>
          </w:tcPr>
          <w:p>
            <w:r>
              <w:rPr>
                <w:rFonts w:ascii="Arial" w:hAnsi="Arial"/>
                <w:b w:val="0"/>
                <w:color w:val="1B2E38"/>
                <w:sz w:val="19"/>
              </w:rPr>
              <w:t>10. Jak zmienić ustawienia cookies</w:t>
            </w:r>
          </w:p>
        </w:tc>
      </w:tr>
      <w:tr>
        <w:tc>
          <w:tcPr>
            <w:tcW w:type="dxa" w:w="9978"/>
            <w:shd w:fill="FDFCFA"/>
            <w:tcBorders>
              <w:top w:val="single" w:sz="4" w:space="0" w:color="D9E2E4"/>
              <w:left w:val="single" w:sz="4" w:space="0" w:color="D9E2E4"/>
              <w:bottom w:val="single" w:sz="4" w:space="0" w:color="D9E2E4"/>
              <w:right w:val="single" w:sz="4" w:space="0" w:color="D9E2E4"/>
            </w:tcBorders>
            <w:tcMar>
              <w:top w:w="70" w:type="dxa"/>
              <w:start w:w="150" w:type="dxa"/>
              <w:bottom w:w="70" w:type="dxa"/>
              <w:end w:w="150" w:type="dxa"/>
            </w:tcMar>
          </w:tcPr>
          <w:p>
            <w:r>
              <w:rPr>
                <w:rFonts w:ascii="Arial" w:hAnsi="Arial"/>
                <w:b w:val="0"/>
                <w:color w:val="1B2E38"/>
                <w:sz w:val="19"/>
              </w:rPr>
              <w:t>11. Wykaz technologii</w:t>
            </w:r>
          </w:p>
        </w:tc>
      </w:tr>
      <w:tr>
        <w:tc>
          <w:tcPr>
            <w:tcW w:type="dxa" w:w="9978"/>
            <w:shd w:fill="F4F1EC"/>
            <w:tcBorders>
              <w:top w:val="single" w:sz="4" w:space="0" w:color="D9E2E4"/>
              <w:left w:val="single" w:sz="4" w:space="0" w:color="D9E2E4"/>
              <w:bottom w:val="single" w:sz="4" w:space="0" w:color="D9E2E4"/>
              <w:right w:val="single" w:sz="4" w:space="0" w:color="D9E2E4"/>
            </w:tcBorders>
            <w:tcMar>
              <w:top w:w="70" w:type="dxa"/>
              <w:start w:w="150" w:type="dxa"/>
              <w:bottom w:w="70" w:type="dxa"/>
              <w:end w:w="150" w:type="dxa"/>
            </w:tcMar>
          </w:tcPr>
          <w:p>
            <w:r>
              <w:rPr>
                <w:rFonts w:ascii="Arial" w:hAnsi="Arial"/>
                <w:b w:val="0"/>
                <w:color w:val="1B2E38"/>
                <w:sz w:val="19"/>
              </w:rPr>
              <w:t>12. Zasady wdrożeniowe dla dewelopera</w:t>
            </w:r>
          </w:p>
        </w:tc>
      </w:tr>
      <w:tr>
        <w:tc>
          <w:tcPr>
            <w:tcW w:type="dxa" w:w="9978"/>
            <w:shd w:fill="FDFCFA"/>
            <w:tcBorders>
              <w:top w:val="single" w:sz="4" w:space="0" w:color="D9E2E4"/>
              <w:left w:val="single" w:sz="4" w:space="0" w:color="D9E2E4"/>
              <w:bottom w:val="single" w:sz="4" w:space="0" w:color="D9E2E4"/>
              <w:right w:val="single" w:sz="4" w:space="0" w:color="D9E2E4"/>
            </w:tcBorders>
            <w:tcMar>
              <w:top w:w="70" w:type="dxa"/>
              <w:start w:w="150" w:type="dxa"/>
              <w:bottom w:w="70" w:type="dxa"/>
              <w:end w:w="150" w:type="dxa"/>
            </w:tcMar>
          </w:tcPr>
          <w:p>
            <w:r>
              <w:rPr>
                <w:rFonts w:ascii="Arial" w:hAnsi="Arial"/>
                <w:b w:val="0"/>
                <w:color w:val="1B2E38"/>
                <w:sz w:val="19"/>
              </w:rPr>
              <w:t>13. Zmiany dokumentu</w:t>
            </w:r>
          </w:p>
        </w:tc>
      </w:tr>
    </w:tbl>
    <w:p/>
    <w:p>
      <w:pPr>
        <w:pStyle w:val="Heading1"/>
      </w:pPr>
      <w:r>
        <w:t>1. Czym są cookies i podobne technologie</w:t>
      </w:r>
    </w:p>
    <w:p>
      <w:r>
        <w:rPr>
          <w:rFonts w:ascii="Arial" w:hAnsi="Arial"/>
          <w:color w:val="1B2E38"/>
          <w:sz w:val="20"/>
        </w:rPr>
        <w:t>Cookies to małe pliki tekstowe zapisywane w urządzeniu użytkownika przez przeglądarkę. Podobne technologie obejmują między innymi localStorage, sessionStorage, piksele, identyfikatory urządzenia, tokeny sesji i inne mechanizmy pozwalające zapisać informację w urządzeniu użytkownika albo uzyskać dostęp do informacji już zapisanej.</w:t>
      </w:r>
    </w:p>
    <w:p>
      <w:r>
        <w:rPr>
          <w:rFonts w:ascii="Arial" w:hAnsi="Arial"/>
          <w:color w:val="1B2E38"/>
          <w:sz w:val="20"/>
        </w:rPr>
        <w:t>Serwis wykorzystuje te technologie przede wszystkim po to, aby działać prawidłowo: utrzymać sesję logowania, zabezpieczyć formularze, zapamiętać zgodę cookies, obsłużyć płatności, pokazać panel użytkownika, ochronić komunikator i umożliwić bezpieczny dostęp do pokoju konsultacji.</w:t>
      </w:r>
    </w:p>
    <w:tbl>
      <w:tblPr>
        <w:tblW w:type="auto" w:w="0"/>
        <w:jc w:val="center"/>
        <w:tblLook w:firstColumn="1" w:firstRow="1" w:lastColumn="0" w:lastRow="0" w:noHBand="0" w:noVBand="1" w:val="04A0"/>
      </w:tblPr>
      <w:tblGrid>
        <w:gridCol w:w="9978"/>
      </w:tblGrid>
      <w:tr>
        <w:tc>
          <w:tcPr>
            <w:tcW w:type="dxa" w:w="9978"/>
            <w:shd w:fill="E8F4F6"/>
            <w:tcBorders>
              <w:top w:val="single" w:sz="8" w:space="0" w:color="D9E2E4"/>
              <w:left w:val="single" w:sz="8" w:space="0" w:color="D9E2E4"/>
              <w:bottom w:val="single" w:sz="8" w:space="0" w:color="D9E2E4"/>
              <w:right w:val="single" w:sz="8" w:space="0" w:color="D9E2E4"/>
            </w:tcBorders>
            <w:tcMar>
              <w:top w:w="130" w:type="dxa"/>
              <w:start w:w="160" w:type="dxa"/>
              <w:bottom w:w="130" w:type="dxa"/>
              <w:end w:w="160" w:type="dxa"/>
            </w:tcMar>
          </w:tcPr>
          <w:p>
            <w:r>
              <w:rPr>
                <w:rFonts w:ascii="Arial" w:hAnsi="Arial"/>
                <w:b/>
                <w:color w:val="1B3A4B"/>
                <w:sz w:val="19"/>
              </w:rPr>
              <w:t>Zasada nadrzędna</w:t>
            </w:r>
            <w:r>
              <w:br/>
            </w:r>
            <w:r>
              <w:rPr>
                <w:rFonts w:ascii="Arial" w:hAnsi="Arial"/>
                <w:color w:val="1B2E38"/>
                <w:sz w:val="18"/>
              </w:rPr>
              <w:t>Technologie niezbędne mogą działać bez zgody, jeżeli są konieczne do dostarczenia usługi żądanej przez użytkownika. Technologie analityczne, marketingowe lub inne niewymagane do działania Serwisu powinny być uruchamiane dopiero po wyrażeniu zgody.</w:t>
            </w:r>
          </w:p>
        </w:tc>
      </w:tr>
    </w:tbl>
    <w:p/>
    <w:p>
      <w:pPr>
        <w:pStyle w:val="Heading1"/>
      </w:pPr>
      <w:r>
        <w:t>2. Podstawa prawna i zgoda</w:t>
      </w:r>
    </w:p>
    <w:p>
      <w:r>
        <w:rPr>
          <w:rFonts w:ascii="Arial" w:hAnsi="Arial"/>
          <w:color w:val="1B2E38"/>
          <w:sz w:val="20"/>
        </w:rPr>
        <w:t>Prawo komunikacji elektronicznej wymaga, aby użytkownik był uprzednio poinformowany w sposób jednoznaczny, łatwy i zrozumiały o celu zapisywania informacji w urządzeniu lub uzyskiwania do niej dostępu, a następnie wyraził zgodę, chyba że dana technologia jest konieczna do transmisji komunikatu albo dostarczenia usługi żądanej przez użytkownika.</w:t>
      </w:r>
    </w:p>
    <w:p>
      <w:r>
        <w:rPr>
          <w:rFonts w:ascii="Arial" w:hAnsi="Arial"/>
          <w:color w:val="1B2E38"/>
          <w:sz w:val="20"/>
        </w:rPr>
        <w:t>Zgoda na cookies jest niezależna od akceptacji regulaminu i nie może być warunkiem korzystania z podstawowych funkcji Serwisu, chyba że dana technologia jest rzeczywiście niezbędna do wykonania wybranej usługi.</w:t>
      </w:r>
    </w:p>
    <w:p>
      <w:pPr>
        <w:pStyle w:val="ListBullet"/>
        <w:spacing w:after="60"/>
      </w:pPr>
      <w:r>
        <w:rPr>
          <w:rFonts w:ascii="Arial" w:hAnsi="Arial"/>
          <w:color w:val="1B2E38"/>
          <w:sz w:val="20"/>
        </w:rPr>
        <w:t>cookies niezbędne: uruchamiane bez dodatkowej zgody, bo umożliwiają działanie Serwisu;</w:t>
      </w:r>
    </w:p>
    <w:p>
      <w:pPr>
        <w:pStyle w:val="ListBullet"/>
        <w:spacing w:after="60"/>
      </w:pPr>
      <w:r>
        <w:rPr>
          <w:rFonts w:ascii="Arial" w:hAnsi="Arial"/>
          <w:color w:val="1B2E38"/>
          <w:sz w:val="20"/>
        </w:rPr>
        <w:t>cookies analityczne: uruchamiane po zgodzie;</w:t>
      </w:r>
    </w:p>
    <w:p>
      <w:pPr>
        <w:pStyle w:val="ListBullet"/>
        <w:spacing w:after="60"/>
      </w:pPr>
      <w:r>
        <w:rPr>
          <w:rFonts w:ascii="Arial" w:hAnsi="Arial"/>
          <w:color w:val="1B2E38"/>
          <w:sz w:val="20"/>
        </w:rPr>
        <w:t>cookies marketingowe: uruchamiane po zgodzie i tylko wtedy, gdy zostaną faktycznie wdrożone;</w:t>
      </w:r>
    </w:p>
    <w:p>
      <w:pPr>
        <w:pStyle w:val="ListBullet"/>
        <w:spacing w:after="60"/>
      </w:pPr>
      <w:r>
        <w:rPr>
          <w:rFonts w:ascii="Arial" w:hAnsi="Arial"/>
          <w:color w:val="1B2E38"/>
          <w:sz w:val="20"/>
        </w:rPr>
        <w:t>zgoda może zostać cofnięta w dowolnym momencie w panelu preferencji cookies albo przez ustawienia przeglądarki.</w:t>
      </w:r>
    </w:p>
    <w:p>
      <w:pPr>
        <w:pStyle w:val="Heading1"/>
      </w:pPr>
      <w:r>
        <w:t>3. Kategorie technologii w Serwisie</w:t>
      </w:r>
    </w:p>
    <w:tbl>
      <w:tblPr>
        <w:tblW w:type="auto" w:w="0"/>
        <w:jc w:val="center"/>
        <w:tblLayout w:type="autofit"/>
        <w:tblLook w:firstColumn="1" w:firstRow="1" w:lastColumn="0" w:lastRow="0" w:noHBand="0" w:noVBand="1" w:val="04A0"/>
      </w:tblPr>
      <w:tblGrid>
        <w:gridCol w:w="2324"/>
        <w:gridCol w:w="5159"/>
        <w:gridCol w:w="2154"/>
      </w:tblGrid>
      <w:tr>
        <w:tc>
          <w:tcPr>
            <w:tcW w:type="dxa" w:w="3326"/>
            <w:shd w:fill="1B3A4B"/>
            <w:tcBorders>
              <w:top w:val="single" w:sz="6" w:space="0" w:color="1B3A4B"/>
              <w:left w:val="single" w:sz="6" w:space="0" w:color="1B3A4B"/>
              <w:bottom w:val="single" w:sz="6" w:space="0" w:color="1B3A4B"/>
              <w:right w:val="single" w:sz="6" w:space="0" w:color="1B3A4B"/>
            </w:tcBorders>
            <w:tcMar>
              <w:top w:w="80" w:type="dxa"/>
              <w:start w:w="90" w:type="dxa"/>
              <w:bottom w:w="80" w:type="dxa"/>
              <w:end w:w="90" w:type="dxa"/>
            </w:tcMar>
          </w:tcPr>
          <w:p>
            <w:pPr>
              <w:spacing w:after="0" w:line="252" w:lineRule="auto"/>
            </w:pPr>
            <w:r>
              <w:rPr>
                <w:rFonts w:ascii="Arial" w:hAnsi="Arial"/>
                <w:b/>
                <w:color w:val="FFFFFF"/>
                <w:sz w:val="17"/>
              </w:rPr>
              <w:t>Kategoria</w:t>
            </w:r>
          </w:p>
        </w:tc>
        <w:tc>
          <w:tcPr>
            <w:tcW w:type="dxa" w:w="3326"/>
            <w:shd w:fill="1B3A4B"/>
            <w:tcBorders>
              <w:top w:val="single" w:sz="6" w:space="0" w:color="1B3A4B"/>
              <w:left w:val="single" w:sz="6" w:space="0" w:color="1B3A4B"/>
              <w:bottom w:val="single" w:sz="6" w:space="0" w:color="1B3A4B"/>
              <w:right w:val="single" w:sz="6" w:space="0" w:color="1B3A4B"/>
            </w:tcBorders>
            <w:tcMar>
              <w:top w:w="80" w:type="dxa"/>
              <w:start w:w="90" w:type="dxa"/>
              <w:bottom w:w="80" w:type="dxa"/>
              <w:end w:w="90" w:type="dxa"/>
            </w:tcMar>
          </w:tcPr>
          <w:p>
            <w:pPr>
              <w:spacing w:after="0" w:line="252" w:lineRule="auto"/>
            </w:pPr>
            <w:r>
              <w:rPr>
                <w:rFonts w:ascii="Arial" w:hAnsi="Arial"/>
                <w:b/>
                <w:color w:val="FFFFFF"/>
                <w:sz w:val="17"/>
              </w:rPr>
              <w:t>Cel</w:t>
            </w:r>
          </w:p>
        </w:tc>
        <w:tc>
          <w:tcPr>
            <w:tcW w:type="dxa" w:w="3326"/>
            <w:shd w:fill="1B3A4B"/>
            <w:tcBorders>
              <w:top w:val="single" w:sz="6" w:space="0" w:color="1B3A4B"/>
              <w:left w:val="single" w:sz="6" w:space="0" w:color="1B3A4B"/>
              <w:bottom w:val="single" w:sz="6" w:space="0" w:color="1B3A4B"/>
              <w:right w:val="single" w:sz="6" w:space="0" w:color="1B3A4B"/>
            </w:tcBorders>
            <w:tcMar>
              <w:top w:w="80" w:type="dxa"/>
              <w:start w:w="90" w:type="dxa"/>
              <w:bottom w:w="80" w:type="dxa"/>
              <w:end w:w="90" w:type="dxa"/>
            </w:tcMar>
          </w:tcPr>
          <w:p>
            <w:pPr>
              <w:spacing w:after="0" w:line="252" w:lineRule="auto"/>
            </w:pPr>
            <w:r>
              <w:rPr>
                <w:rFonts w:ascii="Arial" w:hAnsi="Arial"/>
                <w:b/>
                <w:color w:val="FFFFFF"/>
                <w:sz w:val="17"/>
              </w:rPr>
              <w:t>Czy wymaga zgody</w:t>
            </w:r>
          </w:p>
        </w:tc>
      </w:tr>
      <w:tr>
        <w:tc>
          <w:tcPr>
            <w:tcW w:type="dxa" w:w="2324"/>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Niezbędne</w:t>
            </w:r>
          </w:p>
        </w:tc>
        <w:tc>
          <w:tcPr>
            <w:tcW w:type="dxa" w:w="5159"/>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logowanie, bezpieczeństwo, sesja, formularze, koszyk/płatność, zapamiętanie zgód, podstawowe funkcje panelu i komunikatora</w:t>
            </w:r>
          </w:p>
        </w:tc>
        <w:tc>
          <w:tcPr>
            <w:tcW w:type="dxa" w:w="2154"/>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nie, jeżeli są konieczne do żądanej usługi</w:t>
            </w:r>
          </w:p>
        </w:tc>
      </w:tr>
      <w:tr>
        <w:tc>
          <w:tcPr>
            <w:tcW w:type="dxa" w:w="2324"/>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Funkcjonalne</w:t>
            </w:r>
          </w:p>
        </w:tc>
        <w:tc>
          <w:tcPr>
            <w:tcW w:type="dxa" w:w="5159"/>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zapamiętanie preferencji interfejsu, ustawień panelu lub uproszczenie korzystania z Serwisu</w:t>
            </w:r>
          </w:p>
        </w:tc>
        <w:tc>
          <w:tcPr>
            <w:tcW w:type="dxa" w:w="2154"/>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zwykle tak, chyba że są konieczne do wybranej funkcji</w:t>
            </w:r>
          </w:p>
        </w:tc>
      </w:tr>
      <w:tr>
        <w:tc>
          <w:tcPr>
            <w:tcW w:type="dxa" w:w="2324"/>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Analityczne</w:t>
            </w:r>
          </w:p>
        </w:tc>
        <w:tc>
          <w:tcPr>
            <w:tcW w:type="dxa" w:w="5159"/>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pomiar oglądalności, analiza błędów, statystyki ruchu, poprawa UX, Google Analytics po aktywacji</w:t>
            </w:r>
          </w:p>
        </w:tc>
        <w:tc>
          <w:tcPr>
            <w:tcW w:type="dxa" w:w="2154"/>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tak</w:t>
            </w:r>
          </w:p>
        </w:tc>
      </w:tr>
      <w:tr>
        <w:tc>
          <w:tcPr>
            <w:tcW w:type="dxa" w:w="2324"/>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Marketingowe</w:t>
            </w:r>
          </w:p>
        </w:tc>
        <w:tc>
          <w:tcPr>
            <w:tcW w:type="dxa" w:w="5159"/>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pomiar kampanii, remarketing, dopasowanie komunikacji marketingowej, jeżeli takie narzędzia zostaną wdrożone</w:t>
            </w:r>
          </w:p>
        </w:tc>
        <w:tc>
          <w:tcPr>
            <w:tcW w:type="dxa" w:w="2154"/>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tak</w:t>
            </w:r>
          </w:p>
        </w:tc>
      </w:tr>
      <w:tr>
        <w:tc>
          <w:tcPr>
            <w:tcW w:type="dxa" w:w="2324"/>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Bezpieczeństwo i antynadużycia</w:t>
            </w:r>
          </w:p>
        </w:tc>
        <w:tc>
          <w:tcPr>
            <w:tcW w:type="dxa" w:w="5159"/>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ochrona konta, wykrywanie nadużyć, nonce, logi bezpieczeństwa, ochrona płatności i komunikatora</w:t>
            </w:r>
          </w:p>
        </w:tc>
        <w:tc>
          <w:tcPr>
            <w:tcW w:type="dxa" w:w="2154"/>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nie, gdy są niezbędne; w innych przypadkach zależnie od celu</w:t>
            </w:r>
          </w:p>
        </w:tc>
      </w:tr>
      <w:tr>
        <w:tc>
          <w:tcPr>
            <w:tcW w:type="dxa" w:w="2324"/>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Zewnętrzne</w:t>
            </w:r>
          </w:p>
        </w:tc>
        <w:tc>
          <w:tcPr>
            <w:tcW w:type="dxa" w:w="5159"/>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Przelewy24, Google Meet, Google Calendar, ewentualne osadzenia lub przekierowania</w:t>
            </w:r>
          </w:p>
        </w:tc>
        <w:tc>
          <w:tcPr>
            <w:tcW w:type="dxa" w:w="2154"/>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zależnie od dostawcy i miejsca działania technologii</w:t>
            </w:r>
          </w:p>
        </w:tc>
      </w:tr>
    </w:tbl>
    <w:p/>
    <w:p>
      <w:pPr>
        <w:pStyle w:val="Heading1"/>
      </w:pPr>
      <w:r>
        <w:t>4. Cookies niezbędne</w:t>
      </w:r>
    </w:p>
    <w:p>
      <w:r>
        <w:rPr>
          <w:rFonts w:ascii="Arial" w:hAnsi="Arial"/>
          <w:color w:val="1B2E38"/>
          <w:sz w:val="20"/>
        </w:rPr>
        <w:t>Cookies niezbędne są potrzebne, aby Serwis działał poprawnie i bezpiecznie. Bez nich użytkownik może nie być w stanie zalogować się, wykonać testu, kupić raportu, zarezerwować konsultacji, wrócić z płatności, otworzyć panelu albo użyć komunikatora.</w:t>
      </w:r>
    </w:p>
    <w:p>
      <w:pPr>
        <w:pStyle w:val="ListBullet"/>
        <w:spacing w:after="60"/>
      </w:pPr>
      <w:r>
        <w:rPr>
          <w:rFonts w:ascii="Arial" w:hAnsi="Arial"/>
          <w:color w:val="1B2E38"/>
          <w:sz w:val="20"/>
        </w:rPr>
        <w:t>utrzymanie sesji użytkownika po zalogowaniu;</w:t>
      </w:r>
    </w:p>
    <w:p>
      <w:pPr>
        <w:pStyle w:val="ListBullet"/>
        <w:spacing w:after="60"/>
      </w:pPr>
      <w:r>
        <w:rPr>
          <w:rFonts w:ascii="Arial" w:hAnsi="Arial"/>
          <w:color w:val="1B2E38"/>
          <w:sz w:val="20"/>
        </w:rPr>
        <w:t>ochrona formularzy przed nadużyciami i atakami CSRF;</w:t>
      </w:r>
    </w:p>
    <w:p>
      <w:pPr>
        <w:pStyle w:val="ListBullet"/>
        <w:spacing w:after="60"/>
      </w:pPr>
      <w:r>
        <w:rPr>
          <w:rFonts w:ascii="Arial" w:hAnsi="Arial"/>
          <w:color w:val="1B2E38"/>
          <w:sz w:val="20"/>
        </w:rPr>
        <w:t>zapamiętanie wyboru użytkownika w banerze cookies;</w:t>
      </w:r>
    </w:p>
    <w:p>
      <w:pPr>
        <w:pStyle w:val="ListBullet"/>
        <w:spacing w:after="60"/>
      </w:pPr>
      <w:r>
        <w:rPr>
          <w:rFonts w:ascii="Arial" w:hAnsi="Arial"/>
          <w:color w:val="1B2E38"/>
          <w:sz w:val="20"/>
        </w:rPr>
        <w:t>obsługa rezerwacji i tymczasowego locka terminu konsultacji;</w:t>
      </w:r>
    </w:p>
    <w:p>
      <w:pPr>
        <w:pStyle w:val="ListBullet"/>
        <w:spacing w:after="60"/>
      </w:pPr>
      <w:r>
        <w:rPr>
          <w:rFonts w:ascii="Arial" w:hAnsi="Arial"/>
          <w:color w:val="1B2E38"/>
          <w:sz w:val="20"/>
        </w:rPr>
        <w:t>obsługa powrotu po płatności i pollingu statusu jako warstwy UX;</w:t>
      </w:r>
    </w:p>
    <w:p>
      <w:pPr>
        <w:pStyle w:val="ListBullet"/>
        <w:spacing w:after="60"/>
      </w:pPr>
      <w:r>
        <w:rPr>
          <w:rFonts w:ascii="Arial" w:hAnsi="Arial"/>
          <w:color w:val="1B2E38"/>
          <w:sz w:val="20"/>
        </w:rPr>
        <w:t>bezpieczny dostęp do pokoju konsultacji;</w:t>
      </w:r>
    </w:p>
    <w:p>
      <w:pPr>
        <w:pStyle w:val="ListBullet"/>
        <w:spacing w:after="60"/>
      </w:pPr>
      <w:r>
        <w:rPr>
          <w:rFonts w:ascii="Arial" w:hAnsi="Arial"/>
          <w:color w:val="1B2E38"/>
          <w:sz w:val="20"/>
        </w:rPr>
        <w:t>zabezpieczenie panelu i szyfrowanego komunikatora.</w:t>
      </w:r>
    </w:p>
    <w:tbl>
      <w:tblPr>
        <w:tblW w:type="auto" w:w="0"/>
        <w:jc w:val="center"/>
        <w:tblLook w:firstColumn="1" w:firstRow="1" w:lastColumn="0" w:lastRow="0" w:noHBand="0" w:noVBand="1" w:val="04A0"/>
      </w:tblPr>
      <w:tblGrid>
        <w:gridCol w:w="9978"/>
      </w:tblGrid>
      <w:tr>
        <w:tc>
          <w:tcPr>
            <w:tcW w:type="dxa" w:w="9978"/>
            <w:shd w:fill="E8F4F6"/>
            <w:tcBorders>
              <w:top w:val="single" w:sz="8" w:space="0" w:color="D9E2E4"/>
              <w:left w:val="single" w:sz="8" w:space="0" w:color="D9E2E4"/>
              <w:bottom w:val="single" w:sz="8" w:space="0" w:color="D9E2E4"/>
              <w:right w:val="single" w:sz="8" w:space="0" w:color="D9E2E4"/>
            </w:tcBorders>
            <w:tcMar>
              <w:top w:w="130" w:type="dxa"/>
              <w:start w:w="160" w:type="dxa"/>
              <w:bottom w:w="130" w:type="dxa"/>
              <w:end w:w="160" w:type="dxa"/>
            </w:tcMar>
          </w:tcPr>
          <w:p>
            <w:r>
              <w:rPr>
                <w:rFonts w:ascii="Arial" w:hAnsi="Arial"/>
                <w:b/>
                <w:color w:val="1B3A4B"/>
                <w:sz w:val="19"/>
              </w:rPr>
              <w:t>Płatności</w:t>
            </w:r>
            <w:r>
              <w:br/>
            </w:r>
            <w:r>
              <w:rPr>
                <w:rFonts w:ascii="Arial" w:hAnsi="Arial"/>
                <w:color w:val="1B2E38"/>
                <w:sz w:val="18"/>
              </w:rPr>
              <w:t>Powrót z Przelewy24 oraz lokalny polling statusu płatności są tylko warstwą UX. Potwierdzenie płatności następuje dopiero po webhooku, walidacji i weryfikacji po stronie systemu, a nie na podstawie samego pliku cookie albo parametru w adresie URL.</w:t>
            </w:r>
          </w:p>
        </w:tc>
      </w:tr>
    </w:tbl>
    <w:p/>
    <w:p>
      <w:pPr>
        <w:pStyle w:val="Heading1"/>
      </w:pPr>
      <w:r>
        <w:t>5. Analityka Google po aktywacji</w:t>
      </w:r>
    </w:p>
    <w:p>
      <w:r>
        <w:rPr>
          <w:rFonts w:ascii="Arial" w:hAnsi="Arial"/>
          <w:color w:val="1B2E38"/>
          <w:sz w:val="20"/>
        </w:rPr>
        <w:t>Serwis planuje korzystać z narzędzi analitycznych Google, w szczególności Google Analytics. Narzędzia analityczne służą do zrozumienia, jak użytkownicy korzystają z Serwisu, które treści są czytane, gdzie pojawiają się problemy UX oraz jak poprawiać jakość strony.</w:t>
      </w:r>
    </w:p>
    <w:p>
      <w:r>
        <w:rPr>
          <w:rFonts w:ascii="Arial" w:hAnsi="Arial"/>
          <w:color w:val="1B2E38"/>
          <w:sz w:val="20"/>
        </w:rPr>
        <w:t>Google Analytics i podobne narzędzia powinny być ładowane dopiero po zgodzie użytkownika na analitykę. Przed wyrażeniem zgody nie powinno dochodzić do ustawiania analitycznych cookies Google ani wysyłania pełnych zdarzeń analitycznych, chyba że dane są przetwarzane w trybie zgodnym z obowiązującymi przepisami i ustawieniami zgody.</w:t>
      </w:r>
    </w:p>
    <w:p>
      <w:r>
        <w:rPr>
          <w:rFonts w:ascii="Arial" w:hAnsi="Arial"/>
          <w:color w:val="1B2E38"/>
          <w:sz w:val="20"/>
        </w:rPr>
        <w:t>W analityce nie należy przesyłać danych wrażliwych, takich jak odpowiedzi w testach, wyniki testów, treść raportów, powody konsultacji, wiadomości z komunikatora ani notatki specjalisty.</w:t>
      </w:r>
    </w:p>
    <w:p>
      <w:pPr>
        <w:pStyle w:val="ListBullet"/>
        <w:spacing w:after="60"/>
      </w:pPr>
      <w:r>
        <w:rPr>
          <w:rFonts w:ascii="Arial" w:hAnsi="Arial"/>
          <w:color w:val="1B2E38"/>
          <w:sz w:val="20"/>
        </w:rPr>
        <w:t>Nie wysyłamy do Google Analytics pełnej treści formularzy.</w:t>
      </w:r>
    </w:p>
    <w:p>
      <w:pPr>
        <w:pStyle w:val="ListBullet"/>
        <w:spacing w:after="60"/>
      </w:pPr>
      <w:r>
        <w:rPr>
          <w:rFonts w:ascii="Arial" w:hAnsi="Arial"/>
          <w:color w:val="1B2E38"/>
          <w:sz w:val="20"/>
        </w:rPr>
        <w:t>Nie wysyłamy danych zdrowotnych jako nazw zdarzeń, parametrów ani identyfikatorów użytkownika.</w:t>
      </w:r>
    </w:p>
    <w:p>
      <w:pPr>
        <w:pStyle w:val="ListBullet"/>
        <w:spacing w:after="60"/>
      </w:pPr>
      <w:r>
        <w:rPr>
          <w:rFonts w:ascii="Arial" w:hAnsi="Arial"/>
          <w:color w:val="1B2E38"/>
          <w:sz w:val="20"/>
        </w:rPr>
        <w:t>Nie używamy danych o zdrowiu psychicznym do targetowania reklam.</w:t>
      </w:r>
    </w:p>
    <w:p>
      <w:pPr>
        <w:pStyle w:val="ListBullet"/>
        <w:spacing w:after="60"/>
      </w:pPr>
      <w:r>
        <w:rPr>
          <w:rFonts w:ascii="Arial" w:hAnsi="Arial"/>
          <w:color w:val="1B2E38"/>
          <w:sz w:val="20"/>
        </w:rPr>
        <w:t>Po uruchomieniu Google Analytics należy uzupełnić wykaz cookies o realne identyfikatory i okresy życia.</w:t>
      </w:r>
    </w:p>
    <w:p>
      <w:pPr>
        <w:pStyle w:val="Heading1"/>
      </w:pPr>
      <w:r>
        <w:t>6. Marketing i newsletter</w:t>
      </w:r>
    </w:p>
    <w:p>
      <w:r>
        <w:rPr>
          <w:rFonts w:ascii="Arial" w:hAnsi="Arial"/>
          <w:color w:val="1B2E38"/>
          <w:sz w:val="20"/>
        </w:rPr>
        <w:t>Newsletter jest obsługiwany na podstawie dobrowolnej zgody użytkownika. Sam zapis na newsletter nie oznacza zgody na wszystkie cookies marketingowe.</w:t>
      </w:r>
    </w:p>
    <w:p>
      <w:r>
        <w:rPr>
          <w:rFonts w:ascii="Arial" w:hAnsi="Arial"/>
          <w:color w:val="1B2E38"/>
          <w:sz w:val="20"/>
        </w:rPr>
        <w:t>Jeżeli w przyszłości zostaną uruchomione cookies marketingowe, remarketing albo narzędzia do mierzenia kampanii reklamowych, będą wymagały osobnej zgody w banerze cookies lub panelu preferencji. Polityka powinna wtedy zostać zaktualizowana o nazwę dostawcy, cel, zakres danych i okres przechowywania.</w:t>
      </w:r>
    </w:p>
    <w:tbl>
      <w:tblPr>
        <w:tblW w:type="auto" w:w="0"/>
        <w:jc w:val="center"/>
        <w:tblLook w:firstColumn="1" w:firstRow="1" w:lastColumn="0" w:lastRow="0" w:noHBand="0" w:noVBand="1" w:val="04A0"/>
      </w:tblPr>
      <w:tblGrid>
        <w:gridCol w:w="9978"/>
      </w:tblGrid>
      <w:tr>
        <w:tc>
          <w:tcPr>
            <w:tcW w:type="dxa" w:w="9978"/>
            <w:shd w:fill="E8F4F6"/>
            <w:tcBorders>
              <w:top w:val="single" w:sz="8" w:space="0" w:color="D9E2E4"/>
              <w:left w:val="single" w:sz="8" w:space="0" w:color="D9E2E4"/>
              <w:bottom w:val="single" w:sz="8" w:space="0" w:color="D9E2E4"/>
              <w:right w:val="single" w:sz="8" w:space="0" w:color="D9E2E4"/>
            </w:tcBorders>
            <w:tcMar>
              <w:top w:w="130" w:type="dxa"/>
              <w:start w:w="160" w:type="dxa"/>
              <w:bottom w:w="130" w:type="dxa"/>
              <w:end w:w="160" w:type="dxa"/>
            </w:tcMar>
          </w:tcPr>
          <w:p>
            <w:r>
              <w:rPr>
                <w:rFonts w:ascii="Arial" w:hAnsi="Arial"/>
                <w:b/>
                <w:color w:val="1B3A4B"/>
                <w:sz w:val="19"/>
              </w:rPr>
              <w:t>Zakaz targetowania zdrowia</w:t>
            </w:r>
            <w:r>
              <w:br/>
            </w:r>
            <w:r>
              <w:rPr>
                <w:rFonts w:ascii="Arial" w:hAnsi="Arial"/>
                <w:color w:val="1B2E38"/>
                <w:sz w:val="18"/>
              </w:rPr>
              <w:t>Dane o wynikach testów, raportach, konsultacjach i komunikacji ze specjalistą nie powinny być wykorzystywane do profilowania reklamowego opartego na zdrowiu psychicznym, kryzysach, diagnozach, zaburzeniach ani innych wrażliwych obszarach.</w:t>
            </w:r>
          </w:p>
        </w:tc>
      </w:tr>
    </w:tbl>
    <w:p/>
    <w:p>
      <w:pPr>
        <w:pStyle w:val="Heading1"/>
      </w:pPr>
      <w:r>
        <w:t>7. LocalStorage, sessionStorage i komunikator</w:t>
      </w:r>
    </w:p>
    <w:p>
      <w:r>
        <w:rPr>
          <w:rFonts w:ascii="Arial" w:hAnsi="Arial"/>
          <w:color w:val="1B2E38"/>
          <w:sz w:val="20"/>
        </w:rPr>
        <w:t>Serwis może używać localStorage i sessionStorage, czyli pamięci przeglądarki, do krótkotrwałego lub lokalnego przechowywania danych technicznych. Dotyczy to w szczególności powrotu po płatności, stanu interfejsu, ochrony komunikatora oraz lokalnych zabezpieczeń urządzenia.</w:t>
      </w:r>
    </w:p>
    <w:p>
      <w:r>
        <w:rPr>
          <w:rFonts w:ascii="Arial" w:hAnsi="Arial"/>
          <w:color w:val="1B2E38"/>
          <w:sz w:val="20"/>
        </w:rPr>
        <w:t>W komunikatorze mechanizm PIN lub podobne zabezpieczenie może korzystać z lokalnych danych technicznych potrzebnych do odblokowania dostępu na danym urządzeniu. Użytkownik powinien chronić dostęp do swojego urządzenia, przeglądarki i konta e-mail.</w:t>
      </w:r>
    </w:p>
    <w:p>
      <w:pPr>
        <w:pStyle w:val="ListBullet"/>
        <w:spacing w:after="60"/>
      </w:pPr>
      <w:r>
        <w:rPr>
          <w:rFonts w:ascii="Arial" w:hAnsi="Arial"/>
          <w:color w:val="1B2E38"/>
          <w:sz w:val="20"/>
        </w:rPr>
        <w:t>sessionStorage zwykle wygasa po zamknięciu karty lub przeglądarki;</w:t>
      </w:r>
    </w:p>
    <w:p>
      <w:pPr>
        <w:pStyle w:val="ListBullet"/>
        <w:spacing w:after="60"/>
      </w:pPr>
      <w:r>
        <w:rPr>
          <w:rFonts w:ascii="Arial" w:hAnsi="Arial"/>
          <w:color w:val="1B2E38"/>
          <w:sz w:val="20"/>
        </w:rPr>
        <w:t>localStorage może pozostać w przeglądarce dłużej, dopóki użytkownik go nie usunie albo aplikacja go nie wyczyści;</w:t>
      </w:r>
    </w:p>
    <w:p>
      <w:pPr>
        <w:pStyle w:val="ListBullet"/>
        <w:spacing w:after="60"/>
      </w:pPr>
      <w:r>
        <w:rPr>
          <w:rFonts w:ascii="Arial" w:hAnsi="Arial"/>
          <w:color w:val="1B2E38"/>
          <w:sz w:val="20"/>
        </w:rPr>
        <w:t>wyczyszczenie pamięci przeglądarki może wymagać ponownego logowania, ponownej aktywacji komunikatora albo ponownego ustawienia preferencji;</w:t>
      </w:r>
    </w:p>
    <w:p>
      <w:pPr>
        <w:pStyle w:val="ListBullet"/>
        <w:spacing w:after="60"/>
      </w:pPr>
      <w:r>
        <w:rPr>
          <w:rFonts w:ascii="Arial" w:hAnsi="Arial"/>
          <w:color w:val="1B2E38"/>
          <w:sz w:val="20"/>
        </w:rPr>
        <w:t>treści wrażliwe nie powinny być przechowywane w localStorage w postaci jawnej.</w:t>
      </w:r>
    </w:p>
    <w:p>
      <w:pPr>
        <w:pStyle w:val="Heading1"/>
      </w:pPr>
      <w:r>
        <w:t>8. Zewnętrzne usługi i przekierowania</w:t>
      </w:r>
    </w:p>
    <w:p>
      <w:r>
        <w:rPr>
          <w:rFonts w:ascii="Arial" w:hAnsi="Arial"/>
          <w:color w:val="1B2E38"/>
          <w:sz w:val="20"/>
        </w:rPr>
        <w:t>Podczas korzystania z Serwisu użytkownik może zostać przekierowany do zewnętrznych dostawców, w szczególności Przelewy24 w celu dokonania płatności oraz Google Meet w celu udziału w konsultacji online. Zewnętrzny dostawca może stosować własne cookies i podobne technologie zgodnie ze swoją polityką prywatności i polityką cookies.</w:t>
      </w:r>
    </w:p>
    <w:p>
      <w:r>
        <w:rPr>
          <w:rFonts w:ascii="Arial" w:hAnsi="Arial"/>
          <w:color w:val="1B2E38"/>
          <w:sz w:val="20"/>
        </w:rPr>
        <w:t>Bliska Psychologia nie kontroluje cookies ustawianych bezpośrednio przez zewnętrzne serwisy po opuszczeniu domeny bliskapsychologia.pl. Przed skorzystaniem z zewnętrznej usługi użytkownik powinien zapoznać się z informacjami tego dostawcy.</w:t>
      </w:r>
    </w:p>
    <w:tbl>
      <w:tblPr>
        <w:tblW w:type="auto" w:w="0"/>
        <w:jc w:val="center"/>
        <w:tblLayout w:type="autofit"/>
        <w:tblLook w:firstColumn="1" w:firstRow="1" w:lastColumn="0" w:lastRow="0" w:noHBand="0" w:noVBand="1" w:val="04A0"/>
      </w:tblPr>
      <w:tblGrid>
        <w:gridCol w:w="2551"/>
        <w:gridCol w:w="3628"/>
        <w:gridCol w:w="3515"/>
      </w:tblGrid>
      <w:tr>
        <w:tc>
          <w:tcPr>
            <w:tcW w:type="dxa" w:w="3326"/>
            <w:shd w:fill="1B3A4B"/>
            <w:tcBorders>
              <w:top w:val="single" w:sz="6" w:space="0" w:color="1B3A4B"/>
              <w:left w:val="single" w:sz="6" w:space="0" w:color="1B3A4B"/>
              <w:bottom w:val="single" w:sz="6" w:space="0" w:color="1B3A4B"/>
              <w:right w:val="single" w:sz="6" w:space="0" w:color="1B3A4B"/>
            </w:tcBorders>
            <w:tcMar>
              <w:top w:w="80" w:type="dxa"/>
              <w:start w:w="90" w:type="dxa"/>
              <w:bottom w:w="80" w:type="dxa"/>
              <w:end w:w="90" w:type="dxa"/>
            </w:tcMar>
          </w:tcPr>
          <w:p>
            <w:pPr>
              <w:spacing w:after="0" w:line="252" w:lineRule="auto"/>
            </w:pPr>
            <w:r>
              <w:rPr>
                <w:rFonts w:ascii="Arial" w:hAnsi="Arial"/>
                <w:b/>
                <w:color w:val="FFFFFF"/>
                <w:sz w:val="17"/>
              </w:rPr>
              <w:t>Dostawca</w:t>
            </w:r>
          </w:p>
        </w:tc>
        <w:tc>
          <w:tcPr>
            <w:tcW w:type="dxa" w:w="3326"/>
            <w:shd w:fill="1B3A4B"/>
            <w:tcBorders>
              <w:top w:val="single" w:sz="6" w:space="0" w:color="1B3A4B"/>
              <w:left w:val="single" w:sz="6" w:space="0" w:color="1B3A4B"/>
              <w:bottom w:val="single" w:sz="6" w:space="0" w:color="1B3A4B"/>
              <w:right w:val="single" w:sz="6" w:space="0" w:color="1B3A4B"/>
            </w:tcBorders>
            <w:tcMar>
              <w:top w:w="80" w:type="dxa"/>
              <w:start w:w="90" w:type="dxa"/>
              <w:bottom w:w="80" w:type="dxa"/>
              <w:end w:w="90" w:type="dxa"/>
            </w:tcMar>
          </w:tcPr>
          <w:p>
            <w:pPr>
              <w:spacing w:after="0" w:line="252" w:lineRule="auto"/>
            </w:pPr>
            <w:r>
              <w:rPr>
                <w:rFonts w:ascii="Arial" w:hAnsi="Arial"/>
                <w:b/>
                <w:color w:val="FFFFFF"/>
                <w:sz w:val="17"/>
              </w:rPr>
              <w:t>Kiedy może działać</w:t>
            </w:r>
          </w:p>
        </w:tc>
        <w:tc>
          <w:tcPr>
            <w:tcW w:type="dxa" w:w="3326"/>
            <w:shd w:fill="1B3A4B"/>
            <w:tcBorders>
              <w:top w:val="single" w:sz="6" w:space="0" w:color="1B3A4B"/>
              <w:left w:val="single" w:sz="6" w:space="0" w:color="1B3A4B"/>
              <w:bottom w:val="single" w:sz="6" w:space="0" w:color="1B3A4B"/>
              <w:right w:val="single" w:sz="6" w:space="0" w:color="1B3A4B"/>
            </w:tcBorders>
            <w:tcMar>
              <w:top w:w="80" w:type="dxa"/>
              <w:start w:w="90" w:type="dxa"/>
              <w:bottom w:w="80" w:type="dxa"/>
              <w:end w:w="90" w:type="dxa"/>
            </w:tcMar>
          </w:tcPr>
          <w:p>
            <w:pPr>
              <w:spacing w:after="0" w:line="252" w:lineRule="auto"/>
            </w:pPr>
            <w:r>
              <w:rPr>
                <w:rFonts w:ascii="Arial" w:hAnsi="Arial"/>
                <w:b/>
                <w:color w:val="FFFFFF"/>
                <w:sz w:val="17"/>
              </w:rPr>
              <w:t>Uwagi</w:t>
            </w:r>
          </w:p>
        </w:tc>
      </w:tr>
      <w:tr>
        <w:tc>
          <w:tcPr>
            <w:tcW w:type="dxa" w:w="255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Przelewy24 / PayPro S.A.</w:t>
            </w:r>
          </w:p>
        </w:tc>
        <w:tc>
          <w:tcPr>
            <w:tcW w:type="dxa" w:w="3628"/>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podczas przekierowania do płatności i obsługi transakcji</w:t>
            </w:r>
          </w:p>
        </w:tc>
        <w:tc>
          <w:tcPr>
            <w:tcW w:type="dxa" w:w="3515"/>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dane płatnicze są przetwarzane przez operatora płatności; Serwis zapisuje lokalny status i identyfikatory transakcji</w:t>
            </w:r>
          </w:p>
        </w:tc>
      </w:tr>
      <w:tr>
        <w:tc>
          <w:tcPr>
            <w:tcW w:type="dxa" w:w="255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Google Meet</w:t>
            </w:r>
          </w:p>
        </w:tc>
        <w:tc>
          <w:tcPr>
            <w:tcW w:type="dxa" w:w="3628"/>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po autoryzowanym wejściu do pokoju konsultacji i kliknięciu wejścia do konsultacji</w:t>
            </w:r>
          </w:p>
        </w:tc>
        <w:tc>
          <w:tcPr>
            <w:tcW w:type="dxa" w:w="3515"/>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Google może stosować własne cookies w usłudze Meet</w:t>
            </w:r>
          </w:p>
        </w:tc>
      </w:tr>
      <w:tr>
        <w:tc>
          <w:tcPr>
            <w:tcW w:type="dxa" w:w="255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Google Calendar</w:t>
            </w:r>
          </w:p>
        </w:tc>
        <w:tc>
          <w:tcPr>
            <w:tcW w:type="dxa" w:w="3628"/>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przy tworzeniu wydarzenia konsultacji i wysyłce zaproszeń</w:t>
            </w:r>
          </w:p>
        </w:tc>
        <w:tc>
          <w:tcPr>
            <w:tcW w:type="dxa" w:w="3515"/>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wydarzenie nie powinno zawierać danych wrażliwych</w:t>
            </w:r>
          </w:p>
        </w:tc>
      </w:tr>
      <w:tr>
        <w:tc>
          <w:tcPr>
            <w:tcW w:type="dxa" w:w="255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Google Analytics</w:t>
            </w:r>
          </w:p>
        </w:tc>
        <w:tc>
          <w:tcPr>
            <w:tcW w:type="dxa" w:w="3628"/>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po aktywacji i po zgodzie użytkownika</w:t>
            </w:r>
          </w:p>
        </w:tc>
        <w:tc>
          <w:tcPr>
            <w:tcW w:type="dxa" w:w="3515"/>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nie przesyłać danych zdrowotnych ani treści formularzy</w:t>
            </w:r>
          </w:p>
        </w:tc>
      </w:tr>
      <w:tr>
        <w:tc>
          <w:tcPr>
            <w:tcW w:type="dxa" w:w="255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OpenAI</w:t>
            </w:r>
          </w:p>
        </w:tc>
        <w:tc>
          <w:tcPr>
            <w:tcW w:type="dxa" w:w="3628"/>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przy generowaniu raportu premium po stronie serwera</w:t>
            </w:r>
          </w:p>
        </w:tc>
        <w:tc>
          <w:tcPr>
            <w:tcW w:type="dxa" w:w="3515"/>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nie jest typowym skryptem cookies użytkownika; dotyczy przetwarzania danych opisanych w Polityce prywatności</w:t>
            </w:r>
          </w:p>
        </w:tc>
      </w:tr>
    </w:tbl>
    <w:p/>
    <w:p>
      <w:pPr>
        <w:pStyle w:val="Heading1"/>
      </w:pPr>
      <w:r>
        <w:t>9. Jak działa baner zgód</w:t>
      </w:r>
    </w:p>
    <w:p>
      <w:r>
        <w:rPr>
          <w:rFonts w:ascii="Arial" w:hAnsi="Arial"/>
          <w:color w:val="1B2E38"/>
          <w:sz w:val="20"/>
        </w:rPr>
        <w:t>Baner cookies powinien umożliwiać użytkownikowi łatwe podjęcie decyzji i nie powinien wymuszać zgody na technologie niewymagane do działania Serwisu.</w:t>
      </w:r>
    </w:p>
    <w:p>
      <w:pPr>
        <w:pStyle w:val="ListBullet"/>
        <w:spacing w:after="60"/>
      </w:pPr>
      <w:r>
        <w:rPr>
          <w:rFonts w:ascii="Arial" w:hAnsi="Arial"/>
          <w:color w:val="1B2E38"/>
          <w:sz w:val="20"/>
        </w:rPr>
        <w:t>przycisk „Akceptuję wszystkie” może włączyć wszystkie kategorie dobrowolne;</w:t>
      </w:r>
    </w:p>
    <w:p>
      <w:pPr>
        <w:pStyle w:val="ListBullet"/>
        <w:spacing w:after="60"/>
      </w:pPr>
      <w:r>
        <w:rPr>
          <w:rFonts w:ascii="Arial" w:hAnsi="Arial"/>
          <w:color w:val="1B2E38"/>
          <w:sz w:val="20"/>
        </w:rPr>
        <w:t>przycisk „Odrzucam niewymagane” powinien pozostawić aktywne tylko technologie niezbędne;</w:t>
      </w:r>
    </w:p>
    <w:p>
      <w:pPr>
        <w:pStyle w:val="ListBullet"/>
        <w:spacing w:after="60"/>
      </w:pPr>
      <w:r>
        <w:rPr>
          <w:rFonts w:ascii="Arial" w:hAnsi="Arial"/>
          <w:color w:val="1B2E38"/>
          <w:sz w:val="20"/>
        </w:rPr>
        <w:t>przycisk „Ustawienia” powinien pozwalać osobno włączyć lub wyłączyć analitykę i marketing;</w:t>
      </w:r>
    </w:p>
    <w:p>
      <w:pPr>
        <w:pStyle w:val="ListBullet"/>
        <w:spacing w:after="60"/>
      </w:pPr>
      <w:r>
        <w:rPr>
          <w:rFonts w:ascii="Arial" w:hAnsi="Arial"/>
          <w:color w:val="1B2E38"/>
          <w:sz w:val="20"/>
        </w:rPr>
        <w:t>zgody niewymagane nie powinny być domyślnie zaznaczone;</w:t>
      </w:r>
    </w:p>
    <w:p>
      <w:pPr>
        <w:pStyle w:val="ListBullet"/>
        <w:spacing w:after="60"/>
      </w:pPr>
      <w:r>
        <w:rPr>
          <w:rFonts w:ascii="Arial" w:hAnsi="Arial"/>
          <w:color w:val="1B2E38"/>
          <w:sz w:val="20"/>
        </w:rPr>
        <w:t>użytkownik powinien móc wrócić do ustawień zgody w stopce albo w panelu użytkownika;</w:t>
      </w:r>
    </w:p>
    <w:p>
      <w:pPr>
        <w:pStyle w:val="ListBullet"/>
        <w:spacing w:after="60"/>
      </w:pPr>
      <w:r>
        <w:rPr>
          <w:rFonts w:ascii="Arial" w:hAnsi="Arial"/>
          <w:color w:val="1B2E38"/>
          <w:sz w:val="20"/>
        </w:rPr>
        <w:t>w systemie należy zapisać datę, zakres, wersję polityki i źródło zgody.</w:t>
      </w:r>
    </w:p>
    <w:tbl>
      <w:tblPr>
        <w:tblW w:type="auto" w:w="0"/>
        <w:jc w:val="center"/>
        <w:tblLook w:firstColumn="1" w:firstRow="1" w:lastColumn="0" w:lastRow="0" w:noHBand="0" w:noVBand="1" w:val="04A0"/>
      </w:tblPr>
      <w:tblGrid>
        <w:gridCol w:w="9978"/>
      </w:tblGrid>
      <w:tr>
        <w:tc>
          <w:tcPr>
            <w:tcW w:type="dxa" w:w="9978"/>
            <w:shd w:fill="E8F4F6"/>
            <w:tcBorders>
              <w:top w:val="single" w:sz="8" w:space="0" w:color="D9E2E4"/>
              <w:left w:val="single" w:sz="8" w:space="0" w:color="D9E2E4"/>
              <w:bottom w:val="single" w:sz="8" w:space="0" w:color="D9E2E4"/>
              <w:right w:val="single" w:sz="8" w:space="0" w:color="D9E2E4"/>
            </w:tcBorders>
            <w:tcMar>
              <w:top w:w="130" w:type="dxa"/>
              <w:start w:w="160" w:type="dxa"/>
              <w:bottom w:w="130" w:type="dxa"/>
              <w:end w:w="160" w:type="dxa"/>
            </w:tcMar>
          </w:tcPr>
          <w:p>
            <w:r>
              <w:rPr>
                <w:rFonts w:ascii="Arial" w:hAnsi="Arial"/>
                <w:b/>
                <w:color w:val="1B3A4B"/>
                <w:sz w:val="19"/>
              </w:rPr>
              <w:t>Proponowane copy banera</w:t>
            </w:r>
            <w:r>
              <w:br/>
            </w:r>
            <w:r>
              <w:rPr>
                <w:rFonts w:ascii="Arial" w:hAnsi="Arial"/>
                <w:color w:val="1B2E38"/>
                <w:sz w:val="18"/>
              </w:rPr>
              <w:t>Używamy cookies niezbędnych do działania serwisu, logowania, płatności i bezpieczeństwa. Za Twoją zgodą użyjemy także cookies analitycznych, aby poprawiać działanie strony. Nie wykorzystujemy wyników testów, raportów ani danych konsultacji do targetowania reklam.</w:t>
            </w:r>
          </w:p>
        </w:tc>
      </w:tr>
    </w:tbl>
    <w:p/>
    <w:p>
      <w:pPr>
        <w:pStyle w:val="Heading1"/>
      </w:pPr>
      <w:r>
        <w:t>10. Jak zmienić ustawienia cookies</w:t>
      </w:r>
    </w:p>
    <w:p>
      <w:r>
        <w:rPr>
          <w:rFonts w:ascii="Arial" w:hAnsi="Arial"/>
          <w:color w:val="1B2E38"/>
          <w:sz w:val="20"/>
        </w:rPr>
        <w:t>Użytkownik może zmienić ustawienia cookies na kilka sposobów:</w:t>
      </w:r>
    </w:p>
    <w:p>
      <w:pPr>
        <w:pStyle w:val="ListNumber"/>
        <w:spacing w:after="60"/>
      </w:pPr>
      <w:r>
        <w:rPr>
          <w:rFonts w:ascii="Arial" w:hAnsi="Arial"/>
          <w:color w:val="1B2E38"/>
          <w:sz w:val="20"/>
        </w:rPr>
        <w:t>klikając link „Ustawienia cookies” dostępny w stopce lub w panelu użytkownika, jeżeli został wdrożony;</w:t>
      </w:r>
    </w:p>
    <w:p>
      <w:pPr>
        <w:pStyle w:val="ListNumber"/>
        <w:spacing w:after="60"/>
      </w:pPr>
      <w:r>
        <w:rPr>
          <w:rFonts w:ascii="Arial" w:hAnsi="Arial"/>
          <w:color w:val="1B2E38"/>
          <w:sz w:val="20"/>
        </w:rPr>
        <w:t>zmieniając zgody w banerze cookies przy pierwszej wizycie lub po wyczyszczeniu zgód;</w:t>
      </w:r>
    </w:p>
    <w:p>
      <w:pPr>
        <w:pStyle w:val="ListNumber"/>
        <w:spacing w:after="60"/>
      </w:pPr>
      <w:r>
        <w:rPr>
          <w:rFonts w:ascii="Arial" w:hAnsi="Arial"/>
          <w:color w:val="1B2E38"/>
          <w:sz w:val="20"/>
        </w:rPr>
        <w:t>usuwając cookies i dane witryny w ustawieniach przeglądarki;</w:t>
      </w:r>
    </w:p>
    <w:p>
      <w:pPr>
        <w:pStyle w:val="ListNumber"/>
        <w:spacing w:after="60"/>
      </w:pPr>
      <w:r>
        <w:rPr>
          <w:rFonts w:ascii="Arial" w:hAnsi="Arial"/>
          <w:color w:val="1B2E38"/>
          <w:sz w:val="20"/>
        </w:rPr>
        <w:t>blokując cookies stron trzecich w ustawieniach przeglądarki;</w:t>
      </w:r>
    </w:p>
    <w:p>
      <w:pPr>
        <w:pStyle w:val="ListNumber"/>
        <w:spacing w:after="60"/>
      </w:pPr>
      <w:r>
        <w:rPr>
          <w:rFonts w:ascii="Arial" w:hAnsi="Arial"/>
          <w:color w:val="1B2E38"/>
          <w:sz w:val="20"/>
        </w:rPr>
        <w:t>korzystając z trybu prywatnego przeglądarki, pamiętając, że może to ograniczyć działanie logowania, płatności, panelu lub komunikatora.</w:t>
      </w:r>
    </w:p>
    <w:p>
      <w:r>
        <w:rPr>
          <w:rFonts w:ascii="Arial" w:hAnsi="Arial"/>
          <w:color w:val="1B2E38"/>
          <w:sz w:val="20"/>
        </w:rPr>
        <w:t>Ograniczenie cookies niezbędnych może spowodować, że część funkcji Serwisu nie będzie działać prawidłowo.</w:t>
      </w:r>
    </w:p>
    <w:p>
      <w:pPr>
        <w:pStyle w:val="Heading1"/>
      </w:pPr>
      <w:r>
        <w:t>11. Wykaz technologii</w:t>
      </w:r>
    </w:p>
    <w:tbl>
      <w:tblPr>
        <w:tblW w:type="auto" w:w="0"/>
        <w:jc w:val="center"/>
        <w:tblLayout w:type="autofit"/>
        <w:tblLook w:firstColumn="1" w:firstRow="1" w:lastColumn="0" w:lastRow="0" w:noHBand="0" w:noVBand="1" w:val="04A0"/>
      </w:tblPr>
      <w:tblGrid>
        <w:gridCol w:w="2608"/>
        <w:gridCol w:w="1757"/>
        <w:gridCol w:w="3685"/>
        <w:gridCol w:w="1701"/>
      </w:tblGrid>
      <w:tr>
        <w:tc>
          <w:tcPr>
            <w:tcW w:type="dxa" w:w="2494"/>
            <w:shd w:fill="1B3A4B"/>
            <w:tcBorders>
              <w:top w:val="single" w:sz="6" w:space="0" w:color="1B3A4B"/>
              <w:left w:val="single" w:sz="6" w:space="0" w:color="1B3A4B"/>
              <w:bottom w:val="single" w:sz="6" w:space="0" w:color="1B3A4B"/>
              <w:right w:val="single" w:sz="6" w:space="0" w:color="1B3A4B"/>
            </w:tcBorders>
            <w:tcMar>
              <w:top w:w="80" w:type="dxa"/>
              <w:start w:w="90" w:type="dxa"/>
              <w:bottom w:w="80" w:type="dxa"/>
              <w:end w:w="90" w:type="dxa"/>
            </w:tcMar>
          </w:tcPr>
          <w:p>
            <w:pPr>
              <w:spacing w:after="0" w:line="252" w:lineRule="auto"/>
            </w:pPr>
            <w:r>
              <w:rPr>
                <w:rFonts w:ascii="Arial" w:hAnsi="Arial"/>
                <w:b/>
                <w:color w:val="FFFFFF"/>
                <w:sz w:val="17"/>
              </w:rPr>
              <w:t>Nazwa / grupa</w:t>
            </w:r>
          </w:p>
        </w:tc>
        <w:tc>
          <w:tcPr>
            <w:tcW w:type="dxa" w:w="2494"/>
            <w:shd w:fill="1B3A4B"/>
            <w:tcBorders>
              <w:top w:val="single" w:sz="6" w:space="0" w:color="1B3A4B"/>
              <w:left w:val="single" w:sz="6" w:space="0" w:color="1B3A4B"/>
              <w:bottom w:val="single" w:sz="6" w:space="0" w:color="1B3A4B"/>
              <w:right w:val="single" w:sz="6" w:space="0" w:color="1B3A4B"/>
            </w:tcBorders>
            <w:tcMar>
              <w:top w:w="80" w:type="dxa"/>
              <w:start w:w="90" w:type="dxa"/>
              <w:bottom w:w="80" w:type="dxa"/>
              <w:end w:w="90" w:type="dxa"/>
            </w:tcMar>
          </w:tcPr>
          <w:p>
            <w:pPr>
              <w:spacing w:after="0" w:line="252" w:lineRule="auto"/>
            </w:pPr>
            <w:r>
              <w:rPr>
                <w:rFonts w:ascii="Arial" w:hAnsi="Arial"/>
                <w:b/>
                <w:color w:val="FFFFFF"/>
                <w:sz w:val="17"/>
              </w:rPr>
              <w:t>Kategoria</w:t>
            </w:r>
          </w:p>
        </w:tc>
        <w:tc>
          <w:tcPr>
            <w:tcW w:type="dxa" w:w="2494"/>
            <w:shd w:fill="1B3A4B"/>
            <w:tcBorders>
              <w:top w:val="single" w:sz="6" w:space="0" w:color="1B3A4B"/>
              <w:left w:val="single" w:sz="6" w:space="0" w:color="1B3A4B"/>
              <w:bottom w:val="single" w:sz="6" w:space="0" w:color="1B3A4B"/>
              <w:right w:val="single" w:sz="6" w:space="0" w:color="1B3A4B"/>
            </w:tcBorders>
            <w:tcMar>
              <w:top w:w="80" w:type="dxa"/>
              <w:start w:w="90" w:type="dxa"/>
              <w:bottom w:w="80" w:type="dxa"/>
              <w:end w:w="90" w:type="dxa"/>
            </w:tcMar>
          </w:tcPr>
          <w:p>
            <w:pPr>
              <w:spacing w:after="0" w:line="252" w:lineRule="auto"/>
            </w:pPr>
            <w:r>
              <w:rPr>
                <w:rFonts w:ascii="Arial" w:hAnsi="Arial"/>
                <w:b/>
                <w:color w:val="FFFFFF"/>
                <w:sz w:val="17"/>
              </w:rPr>
              <w:t>Cel</w:t>
            </w:r>
          </w:p>
        </w:tc>
        <w:tc>
          <w:tcPr>
            <w:tcW w:type="dxa" w:w="2494"/>
            <w:shd w:fill="1B3A4B"/>
            <w:tcBorders>
              <w:top w:val="single" w:sz="6" w:space="0" w:color="1B3A4B"/>
              <w:left w:val="single" w:sz="6" w:space="0" w:color="1B3A4B"/>
              <w:bottom w:val="single" w:sz="6" w:space="0" w:color="1B3A4B"/>
              <w:right w:val="single" w:sz="6" w:space="0" w:color="1B3A4B"/>
            </w:tcBorders>
            <w:tcMar>
              <w:top w:w="80" w:type="dxa"/>
              <w:start w:w="90" w:type="dxa"/>
              <w:bottom w:w="80" w:type="dxa"/>
              <w:end w:w="90" w:type="dxa"/>
            </w:tcMar>
          </w:tcPr>
          <w:p>
            <w:pPr>
              <w:spacing w:after="0" w:line="252" w:lineRule="auto"/>
            </w:pPr>
            <w:r>
              <w:rPr>
                <w:rFonts w:ascii="Arial" w:hAnsi="Arial"/>
                <w:b/>
                <w:color w:val="FFFFFF"/>
                <w:sz w:val="17"/>
              </w:rPr>
              <w:t>Okres / status</w:t>
            </w:r>
          </w:p>
        </w:tc>
      </w:tr>
      <w:tr>
        <w:tc>
          <w:tcPr>
            <w:tcW w:type="dxa" w:w="2608"/>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wordpress_logged_in_*, wordpress_sec_*</w:t>
            </w:r>
          </w:p>
        </w:tc>
        <w:tc>
          <w:tcPr>
            <w:tcW w:type="dxa" w:w="1757"/>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niezbędne</w:t>
            </w:r>
          </w:p>
        </w:tc>
        <w:tc>
          <w:tcPr>
            <w:tcW w:type="dxa" w:w="3685"/>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utrzymanie sesji zalogowanego użytkownika i bezpieczeństwo konta</w:t>
            </w:r>
          </w:p>
        </w:tc>
        <w:tc>
          <w:tcPr>
            <w:tcW w:type="dxa" w:w="170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czas sesji lub zgodnie z konfiguracją WordPress</w:t>
            </w:r>
          </w:p>
        </w:tc>
      </w:tr>
      <w:tr>
        <w:tc>
          <w:tcPr>
            <w:tcW w:type="dxa" w:w="2608"/>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wp-settings-*, wp-settings-time-*</w:t>
            </w:r>
          </w:p>
        </w:tc>
        <w:tc>
          <w:tcPr>
            <w:tcW w:type="dxa" w:w="1757"/>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funkcjonalne / niezbędne dla panelu</w:t>
            </w:r>
          </w:p>
        </w:tc>
        <w:tc>
          <w:tcPr>
            <w:tcW w:type="dxa" w:w="3685"/>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zapamiętanie wybranych ustawień interfejsu WordPress lub panelu</w:t>
            </w:r>
          </w:p>
        </w:tc>
        <w:tc>
          <w:tcPr>
            <w:tcW w:type="dxa" w:w="170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zwykle do 1 roku</w:t>
            </w:r>
          </w:p>
        </w:tc>
      </w:tr>
      <w:tr>
        <w:tc>
          <w:tcPr>
            <w:tcW w:type="dxa" w:w="2608"/>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bp_cookie_consent lub odpowiednik CMP</w:t>
            </w:r>
          </w:p>
        </w:tc>
        <w:tc>
          <w:tcPr>
            <w:tcW w:type="dxa" w:w="1757"/>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niezbędne</w:t>
            </w:r>
          </w:p>
        </w:tc>
        <w:tc>
          <w:tcPr>
            <w:tcW w:type="dxa" w:w="3685"/>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zapis decyzji użytkownika o zgodach cookies</w:t>
            </w:r>
          </w:p>
        </w:tc>
        <w:tc>
          <w:tcPr>
            <w:tcW w:type="dxa" w:w="170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do czasu zmiany zgody albo maksymalnie zgodnie z konfiguracją CMP</w:t>
            </w:r>
          </w:p>
        </w:tc>
      </w:tr>
      <w:tr>
        <w:tc>
          <w:tcPr>
            <w:tcW w:type="dxa" w:w="2608"/>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bp_session / token sesji</w:t>
            </w:r>
          </w:p>
        </w:tc>
        <w:tc>
          <w:tcPr>
            <w:tcW w:type="dxa" w:w="1757"/>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niezbędne</w:t>
            </w:r>
          </w:p>
        </w:tc>
        <w:tc>
          <w:tcPr>
            <w:tcW w:type="dxa" w:w="3685"/>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utrzymanie sesji, bezpieczeństwo i obsługa panelu</w:t>
            </w:r>
          </w:p>
        </w:tc>
        <w:tc>
          <w:tcPr>
            <w:tcW w:type="dxa" w:w="170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czas sesji</w:t>
            </w:r>
          </w:p>
        </w:tc>
      </w:tr>
      <w:tr>
        <w:tc>
          <w:tcPr>
            <w:tcW w:type="dxa" w:w="2608"/>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bp_booking_lock / dane sesji rezerwacji</w:t>
            </w:r>
          </w:p>
        </w:tc>
        <w:tc>
          <w:tcPr>
            <w:tcW w:type="dxa" w:w="1757"/>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niezbędne</w:t>
            </w:r>
          </w:p>
        </w:tc>
        <w:tc>
          <w:tcPr>
            <w:tcW w:type="dxa" w:w="3685"/>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czasowa blokada terminu i obsługa rezerwacji</w:t>
            </w:r>
          </w:p>
        </w:tc>
        <w:tc>
          <w:tcPr>
            <w:tcW w:type="dxa" w:w="170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krótki czas techniczny, zwykle do wygaśnięcia locka</w:t>
            </w:r>
          </w:p>
        </w:tc>
      </w:tr>
      <w:tr>
        <w:tc>
          <w:tcPr>
            <w:tcW w:type="dxa" w:w="2608"/>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bp_payment_return / sessionStorage powrotu</w:t>
            </w:r>
          </w:p>
        </w:tc>
        <w:tc>
          <w:tcPr>
            <w:tcW w:type="dxa" w:w="1757"/>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niezbędne UX</w:t>
            </w:r>
          </w:p>
        </w:tc>
        <w:tc>
          <w:tcPr>
            <w:tcW w:type="dxa" w:w="3685"/>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pokazanie statusu po powrocie z płatności i polling</w:t>
            </w:r>
          </w:p>
        </w:tc>
        <w:tc>
          <w:tcPr>
            <w:tcW w:type="dxa" w:w="170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czas sesji lub krótki czas techniczny</w:t>
            </w:r>
          </w:p>
        </w:tc>
      </w:tr>
      <w:tr>
        <w:tc>
          <w:tcPr>
            <w:tcW w:type="dxa" w:w="2608"/>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bp_secure_messages_* / lokalne dane komunikatora</w:t>
            </w:r>
          </w:p>
        </w:tc>
        <w:tc>
          <w:tcPr>
            <w:tcW w:type="dxa" w:w="1757"/>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niezbędne dla komunikatora</w:t>
            </w:r>
          </w:p>
        </w:tc>
        <w:tc>
          <w:tcPr>
            <w:tcW w:type="dxa" w:w="3685"/>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ochrona dostępu do szyfrowanego komunikatora i aktywacja urządzenia</w:t>
            </w:r>
          </w:p>
        </w:tc>
        <w:tc>
          <w:tcPr>
            <w:tcW w:type="dxa" w:w="170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do usunięcia danych witryny, wylogowania lub resetu urządzenia</w:t>
            </w:r>
          </w:p>
        </w:tc>
      </w:tr>
      <w:tr>
        <w:tc>
          <w:tcPr>
            <w:tcW w:type="dxa" w:w="2608"/>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_ga, _ga_*</w:t>
            </w:r>
          </w:p>
        </w:tc>
        <w:tc>
          <w:tcPr>
            <w:tcW w:type="dxa" w:w="1757"/>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analityczne</w:t>
            </w:r>
          </w:p>
        </w:tc>
        <w:tc>
          <w:tcPr>
            <w:tcW w:type="dxa" w:w="3685"/>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Google Analytics 4 - rozróżnianie użytkowników i sesji w statystykach</w:t>
            </w:r>
          </w:p>
        </w:tc>
        <w:tc>
          <w:tcPr>
            <w:tcW w:type="dxa" w:w="170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po aktywacji i zgodzie; zwykle do 2 lat, zależnie od konfiguracji</w:t>
            </w:r>
          </w:p>
        </w:tc>
      </w:tr>
      <w:tr>
        <w:tc>
          <w:tcPr>
            <w:tcW w:type="dxa" w:w="2608"/>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_gid</w:t>
            </w:r>
          </w:p>
        </w:tc>
        <w:tc>
          <w:tcPr>
            <w:tcW w:type="dxa" w:w="1757"/>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analityczne</w:t>
            </w:r>
          </w:p>
        </w:tc>
        <w:tc>
          <w:tcPr>
            <w:tcW w:type="dxa" w:w="3685"/>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starsze lub dodatkowe konfiguracje Google Analytics, jeśli użyte</w:t>
            </w:r>
          </w:p>
        </w:tc>
        <w:tc>
          <w:tcPr>
            <w:tcW w:type="dxa" w:w="170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po aktywacji i zgodzie; zwykle do 24 godzin</w:t>
            </w:r>
          </w:p>
        </w:tc>
      </w:tr>
      <w:tr>
        <w:tc>
          <w:tcPr>
            <w:tcW w:type="dxa" w:w="2608"/>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_gat lub podobne</w:t>
            </w:r>
          </w:p>
        </w:tc>
        <w:tc>
          <w:tcPr>
            <w:tcW w:type="dxa" w:w="1757"/>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analityczne</w:t>
            </w:r>
          </w:p>
        </w:tc>
        <w:tc>
          <w:tcPr>
            <w:tcW w:type="dxa" w:w="3685"/>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ograniczenie częstotliwości zapytań do Google Analytics, jeśli użyte</w:t>
            </w:r>
          </w:p>
        </w:tc>
        <w:tc>
          <w:tcPr>
            <w:tcW w:type="dxa" w:w="170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po aktywacji i zgodzie; krótki okres</w:t>
            </w:r>
          </w:p>
        </w:tc>
      </w:tr>
      <w:tr>
        <w:tc>
          <w:tcPr>
            <w:tcW w:type="dxa" w:w="2608"/>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_gcl_* lub cookies reklamowe Google</w:t>
            </w:r>
          </w:p>
        </w:tc>
        <w:tc>
          <w:tcPr>
            <w:tcW w:type="dxa" w:w="1757"/>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marketingowe</w:t>
            </w:r>
          </w:p>
        </w:tc>
        <w:tc>
          <w:tcPr>
            <w:tcW w:type="dxa" w:w="3685"/>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pomiar kampanii reklamowych, jeśli zostaną wdrożone</w:t>
            </w:r>
          </w:p>
        </w:tc>
        <w:tc>
          <w:tcPr>
            <w:tcW w:type="dxa" w:w="170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nieaktywne w wersji bazowej; wymagają zgody i aktualizacji polityki</w:t>
            </w:r>
          </w:p>
        </w:tc>
      </w:tr>
      <w:tr>
        <w:tc>
          <w:tcPr>
            <w:tcW w:type="dxa" w:w="2608"/>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cookies Przelewy24</w:t>
            </w:r>
          </w:p>
        </w:tc>
        <w:tc>
          <w:tcPr>
            <w:tcW w:type="dxa" w:w="1757"/>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zewnętrzne</w:t>
            </w:r>
          </w:p>
        </w:tc>
        <w:tc>
          <w:tcPr>
            <w:tcW w:type="dxa" w:w="3685"/>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obsługa płatności po przekierowaniu do operatora</w:t>
            </w:r>
          </w:p>
        </w:tc>
        <w:tc>
          <w:tcPr>
            <w:tcW w:type="dxa" w:w="170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według polityki Przelewy24</w:t>
            </w:r>
          </w:p>
        </w:tc>
      </w:tr>
      <w:tr>
        <w:tc>
          <w:tcPr>
            <w:tcW w:type="dxa" w:w="2608"/>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cookies Google Meet</w:t>
            </w:r>
          </w:p>
        </w:tc>
        <w:tc>
          <w:tcPr>
            <w:tcW w:type="dxa" w:w="1757"/>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zewnętrzne</w:t>
            </w:r>
          </w:p>
        </w:tc>
        <w:tc>
          <w:tcPr>
            <w:tcW w:type="dxa" w:w="3685"/>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udział w spotkaniu online po przejściu do Google Meet</w:t>
            </w:r>
          </w:p>
        </w:tc>
        <w:tc>
          <w:tcPr>
            <w:tcW w:type="dxa" w:w="170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według polityki Google</w:t>
            </w:r>
          </w:p>
        </w:tc>
      </w:tr>
    </w:tbl>
    <w:p/>
    <w:tbl>
      <w:tblPr>
        <w:tblW w:type="auto" w:w="0"/>
        <w:jc w:val="center"/>
        <w:tblLook w:firstColumn="1" w:firstRow="1" w:lastColumn="0" w:lastRow="0" w:noHBand="0" w:noVBand="1" w:val="04A0"/>
      </w:tblPr>
      <w:tblGrid>
        <w:gridCol w:w="9978"/>
      </w:tblGrid>
      <w:tr>
        <w:tc>
          <w:tcPr>
            <w:tcW w:type="dxa" w:w="9978"/>
            <w:shd w:fill="E8F4F6"/>
            <w:tcBorders>
              <w:top w:val="single" w:sz="8" w:space="0" w:color="D9E2E4"/>
              <w:left w:val="single" w:sz="8" w:space="0" w:color="D9E2E4"/>
              <w:bottom w:val="single" w:sz="8" w:space="0" w:color="D9E2E4"/>
              <w:right w:val="single" w:sz="8" w:space="0" w:color="D9E2E4"/>
            </w:tcBorders>
            <w:tcMar>
              <w:top w:w="130" w:type="dxa"/>
              <w:start w:w="160" w:type="dxa"/>
              <w:bottom w:w="130" w:type="dxa"/>
              <w:end w:w="160" w:type="dxa"/>
            </w:tcMar>
          </w:tcPr>
          <w:p>
            <w:r>
              <w:rPr>
                <w:rFonts w:ascii="Arial" w:hAnsi="Arial"/>
                <w:b/>
                <w:color w:val="1B3A4B"/>
                <w:sz w:val="19"/>
              </w:rPr>
              <w:t>Audyt po wdrożeniu</w:t>
            </w:r>
            <w:r>
              <w:br/>
            </w:r>
            <w:r>
              <w:rPr>
                <w:rFonts w:ascii="Arial" w:hAnsi="Arial"/>
                <w:color w:val="1B2E38"/>
                <w:sz w:val="18"/>
              </w:rPr>
              <w:t>Po podłączeniu realnego narzędzia CMP, Google Analytics, Google Tag Manager, newslettera lub marketingu należy wykonać skan cookies na produkcji i zaktualizować powyższą tabelę o faktyczne nazwy, domeny i czasy życia.</w:t>
            </w:r>
          </w:p>
        </w:tc>
      </w:tr>
    </w:tbl>
    <w:p/>
    <w:p>
      <w:pPr>
        <w:pStyle w:val="Heading1"/>
      </w:pPr>
      <w:r>
        <w:t>12. Zasady wdrożeniowe dla dewelopera</w:t>
      </w:r>
    </w:p>
    <w:tbl>
      <w:tblPr>
        <w:tblW w:type="auto" w:w="0"/>
        <w:jc w:val="center"/>
        <w:tblLayout w:type="autofit"/>
        <w:tblLook w:firstColumn="1" w:firstRow="1" w:lastColumn="0" w:lastRow="0" w:noHBand="0" w:noVBand="1" w:val="04A0"/>
      </w:tblPr>
      <w:tblGrid>
        <w:gridCol w:w="2835"/>
        <w:gridCol w:w="6803"/>
      </w:tblGrid>
      <w:tr>
        <w:tc>
          <w:tcPr>
            <w:tcW w:type="dxa" w:w="4989"/>
            <w:shd w:fill="1B3A4B"/>
            <w:tcBorders>
              <w:top w:val="single" w:sz="6" w:space="0" w:color="1B3A4B"/>
              <w:left w:val="single" w:sz="6" w:space="0" w:color="1B3A4B"/>
              <w:bottom w:val="single" w:sz="6" w:space="0" w:color="1B3A4B"/>
              <w:right w:val="single" w:sz="6" w:space="0" w:color="1B3A4B"/>
            </w:tcBorders>
            <w:tcMar>
              <w:top w:w="80" w:type="dxa"/>
              <w:start w:w="90" w:type="dxa"/>
              <w:bottom w:w="80" w:type="dxa"/>
              <w:end w:w="90" w:type="dxa"/>
            </w:tcMar>
          </w:tcPr>
          <w:p>
            <w:pPr>
              <w:spacing w:after="0" w:line="252" w:lineRule="auto"/>
            </w:pPr>
            <w:r>
              <w:rPr>
                <w:rFonts w:ascii="Arial" w:hAnsi="Arial"/>
                <w:b/>
                <w:color w:val="FFFFFF"/>
                <w:sz w:val="17"/>
              </w:rPr>
              <w:t>Obszar</w:t>
            </w:r>
          </w:p>
        </w:tc>
        <w:tc>
          <w:tcPr>
            <w:tcW w:type="dxa" w:w="4989"/>
            <w:shd w:fill="1B3A4B"/>
            <w:tcBorders>
              <w:top w:val="single" w:sz="6" w:space="0" w:color="1B3A4B"/>
              <w:left w:val="single" w:sz="6" w:space="0" w:color="1B3A4B"/>
              <w:bottom w:val="single" w:sz="6" w:space="0" w:color="1B3A4B"/>
              <w:right w:val="single" w:sz="6" w:space="0" w:color="1B3A4B"/>
            </w:tcBorders>
            <w:tcMar>
              <w:top w:w="80" w:type="dxa"/>
              <w:start w:w="90" w:type="dxa"/>
              <w:bottom w:w="80" w:type="dxa"/>
              <w:end w:w="90" w:type="dxa"/>
            </w:tcMar>
          </w:tcPr>
          <w:p>
            <w:pPr>
              <w:spacing w:after="0" w:line="252" w:lineRule="auto"/>
            </w:pPr>
            <w:r>
              <w:rPr>
                <w:rFonts w:ascii="Arial" w:hAnsi="Arial"/>
                <w:b/>
                <w:color w:val="FFFFFF"/>
                <w:sz w:val="17"/>
              </w:rPr>
              <w:t>Wymaganie</w:t>
            </w:r>
          </w:p>
        </w:tc>
      </w:tr>
      <w:tr>
        <w:tc>
          <w:tcPr>
            <w:tcW w:type="dxa" w:w="2835"/>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Domyślny stan zgód</w:t>
            </w:r>
          </w:p>
        </w:tc>
        <w:tc>
          <w:tcPr>
            <w:tcW w:type="dxa" w:w="6803"/>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niezbędne aktywne; analityczne i marketingowe domyślnie wyłączone</w:t>
            </w:r>
          </w:p>
        </w:tc>
      </w:tr>
      <w:tr>
        <w:tc>
          <w:tcPr>
            <w:tcW w:type="dxa" w:w="2835"/>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Kolejność ładowania</w:t>
            </w:r>
          </w:p>
        </w:tc>
        <w:tc>
          <w:tcPr>
            <w:tcW w:type="dxa" w:w="6803"/>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skrypty analityczne i marketingowe nie mogą ładować się przed zgodą</w:t>
            </w:r>
          </w:p>
        </w:tc>
      </w:tr>
      <w:tr>
        <w:tc>
          <w:tcPr>
            <w:tcW w:type="dxa" w:w="2835"/>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Dane wrażliwe</w:t>
            </w:r>
          </w:p>
        </w:tc>
        <w:tc>
          <w:tcPr>
            <w:tcW w:type="dxa" w:w="6803"/>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nie wysyłać do analytics parametrów z odpowiedziami testu, wynikiem szczegółowym, raportem, powodem konsultacji, treścią wiadomości ani notatką</w:t>
            </w:r>
          </w:p>
        </w:tc>
      </w:tr>
      <w:tr>
        <w:tc>
          <w:tcPr>
            <w:tcW w:type="dxa" w:w="2835"/>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Płatności</w:t>
            </w:r>
          </w:p>
        </w:tc>
        <w:tc>
          <w:tcPr>
            <w:tcW w:type="dxa" w:w="6803"/>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nie traktować powrotu z P24 ani cookies jako potwierdzenia płatności; potwierdza wyłącznie backend po verify</w:t>
            </w:r>
          </w:p>
        </w:tc>
      </w:tr>
      <w:tr>
        <w:tc>
          <w:tcPr>
            <w:tcW w:type="dxa" w:w="2835"/>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Komunikator</w:t>
            </w:r>
          </w:p>
        </w:tc>
        <w:tc>
          <w:tcPr>
            <w:tcW w:type="dxa" w:w="6803"/>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nie zapisywać treści wiadomości w localStorage w formie jawnej; nie logować treści wiadomości</w:t>
            </w:r>
          </w:p>
        </w:tc>
      </w:tr>
      <w:tr>
        <w:tc>
          <w:tcPr>
            <w:tcW w:type="dxa" w:w="2835"/>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E-mail</w:t>
            </w:r>
          </w:p>
        </w:tc>
        <w:tc>
          <w:tcPr>
            <w:tcW w:type="dxa" w:w="6803"/>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powiadomienia o wiadomości bez treści wiadomości</w:t>
            </w:r>
          </w:p>
        </w:tc>
      </w:tr>
      <w:tr>
        <w:tc>
          <w:tcPr>
            <w:tcW w:type="dxa" w:w="2835"/>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Google Calendar / Meet</w:t>
            </w:r>
          </w:p>
        </w:tc>
        <w:tc>
          <w:tcPr>
            <w:tcW w:type="dxa" w:w="6803"/>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nie dodawać danych wrażliwych do tytułu ani opisu wydarzenia</w:t>
            </w:r>
          </w:p>
        </w:tc>
      </w:tr>
      <w:tr>
        <w:tc>
          <w:tcPr>
            <w:tcW w:type="dxa" w:w="2835"/>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Wersjonowanie zgody</w:t>
            </w:r>
          </w:p>
        </w:tc>
        <w:tc>
          <w:tcPr>
            <w:tcW w:type="dxa" w:w="6803"/>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zapisać datę, wersję polityki, zakres zgody, źródło zgody i identyfikator użytkownika lub sesji</w:t>
            </w:r>
          </w:p>
        </w:tc>
      </w:tr>
      <w:tr>
        <w:tc>
          <w:tcPr>
            <w:tcW w:type="dxa" w:w="2835"/>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Wycofanie zgody</w:t>
            </w:r>
          </w:p>
        </w:tc>
        <w:tc>
          <w:tcPr>
            <w:tcW w:type="dxa" w:w="6803"/>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po wycofaniu zgody zatrzymać ładowanie skryptów niewymaganych i usunąć cookies, jeżeli technicznie możliwe</w:t>
            </w:r>
          </w:p>
        </w:tc>
      </w:tr>
    </w:tbl>
    <w:p/>
    <w:p>
      <w:pPr>
        <w:pStyle w:val="Heading1"/>
      </w:pPr>
      <w:r>
        <w:t>13. Zmiany dokumentu</w:t>
      </w:r>
    </w:p>
    <w:p>
      <w:r>
        <w:rPr>
          <w:rFonts w:ascii="Arial" w:hAnsi="Arial"/>
          <w:color w:val="1B2E38"/>
          <w:sz w:val="20"/>
        </w:rPr>
        <w:t>Polityka cookies może być aktualizowana w szczególności po dodaniu nowych narzędzi analitycznych, marketingowych, newsletterowych, płatniczych, komunikacyjnych albo po zmianie przepisów. Aktualna wersja dokumentu powinna być dostępna w Serwisie w sposób umożliwiający zapisanie i odtworzenie.</w:t>
      </w:r>
    </w:p>
    <w:p>
      <w:r>
        <w:rPr>
          <w:rFonts w:ascii="Arial" w:hAnsi="Arial"/>
          <w:color w:val="1B2E38"/>
          <w:sz w:val="20"/>
        </w:rPr>
        <w:t>Jeżeli zmiana dotyczy cookies lub technologii wymagających zgody, użytkownik powinien otrzymać możliwość ponownego wyboru zgody.</w:t>
      </w:r>
    </w:p>
    <w:sectPr>
      <w:headerReference w:type="default" r:id="rId9"/>
      <w:footerReference w:type="default" r:id="rId10"/>
      <w:pgSz w:w="11906" w:h="16838"/>
      <w:pgMar w:top="879" w:right="964" w:bottom="822" w:left="964" w:header="312"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4989"/>
      <w:gridCol w:w="4989"/>
    </w:tblGrid>
    <w:tr>
      <w:tc>
        <w:tcPr>
          <w:tcW w:type="dxa" w:w="4989"/>
          <w:tcBorders>
            <w:top w:val="single" w:sz="0" w:space="0" w:color="FFFFFF"/>
            <w:left w:val="single" w:sz="0" w:space="0" w:color="FFFFFF"/>
            <w:bottom w:val="single" w:sz="0" w:space="0" w:color="FFFFFF"/>
            <w:right w:val="single" w:sz="0" w:space="0" w:color="FFFFFF"/>
          </w:tcBorders>
          <w:tcMar>
            <w:top w:w="0" w:type="dxa"/>
            <w:start w:w="0" w:type="dxa"/>
            <w:bottom w:w="0" w:type="dxa"/>
            <w:end w:w="0" w:type="dxa"/>
          </w:tcMar>
        </w:tcPr>
        <w:p>
          <w:r>
            <w:rPr>
              <w:rFonts w:ascii="Arial" w:hAnsi="Arial"/>
              <w:color w:val="6E7F89"/>
              <w:sz w:val="16"/>
            </w:rPr>
            <w:t>Bliska Psychologia - dokument prawny - wersja 1.0</w:t>
          </w:r>
        </w:p>
      </w:tc>
      <w:tc>
        <w:tcPr>
          <w:tcW w:type="dxa" w:w="4989"/>
          <w:tcBorders>
            <w:top w:val="single" w:sz="0" w:space="0" w:color="FFFFFF"/>
            <w:left w:val="single" w:sz="0" w:space="0" w:color="FFFFFF"/>
            <w:bottom w:val="single" w:sz="0" w:space="0" w:color="FFFFFF"/>
            <w:right w:val="single" w:sz="0" w:space="0" w:color="FFFFFF"/>
          </w:tcBorders>
          <w:tcMar>
            <w:top w:w="0" w:type="dxa"/>
            <w:start w:w="0" w:type="dxa"/>
            <w:bottom w:w="0" w:type="dxa"/>
            <w:end w:w="0" w:type="dxa"/>
          </w:tcMar>
        </w:tcPr>
        <w:p>
          <w:pPr>
            <w:jc w:val="right"/>
          </w:pPr>
          <w:r>
            <w:rPr>
              <w:rFonts w:ascii="Arial" w:hAnsi="Arial"/>
              <w:color w:val="6E7F89"/>
              <w:sz w:val="17"/>
            </w:rPr>
            <w:t xml:space="preserve">Strona </w:t>
          </w:r>
          <w:r>
            <w:fldChar w:fldCharType="begin"/>
            <w:instrText xml:space="preserve">PAGE</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ook w:firstColumn="1" w:firstRow="1" w:lastColumn="0" w:lastRow="0" w:noHBand="0" w:noVBand="1" w:val="04A0"/>
    </w:tblPr>
    <w:tblGrid>
      <w:gridCol w:w="4989"/>
      <w:gridCol w:w="4989"/>
    </w:tblGrid>
    <w:tr>
      <w:tc>
        <w:tcPr>
          <w:tcW w:type="dxa" w:w="4989"/>
          <w:tcBorders>
            <w:top w:val="single" w:sz="0" w:space="0" w:color="FFFFFF"/>
            <w:left w:val="single" w:sz="0" w:space="0" w:color="FFFFFF"/>
            <w:bottom w:val="single" w:sz="0" w:space="0" w:color="FFFFFF"/>
            <w:right w:val="single" w:sz="0" w:space="0" w:color="FFFFFF"/>
          </w:tcBorders>
          <w:tcMar>
            <w:top w:w="0" w:type="dxa"/>
            <w:start w:w="0" w:type="dxa"/>
            <w:bottom w:w="0" w:type="dxa"/>
            <w:end w:w="0" w:type="dxa"/>
          </w:tcMar>
        </w:tcPr>
        <w:p>
          <w:pPr>
            <w:jc w:val="left"/>
          </w:pPr>
          <w:r>
            <w:drawing>
              <wp:inline xmlns:a="http://schemas.openxmlformats.org/drawingml/2006/main" xmlns:pic="http://schemas.openxmlformats.org/drawingml/2006/picture">
                <wp:extent cx="1080000" cy="400781"/>
                <wp:docPr id="1" name="Picture 1"/>
                <wp:cNvGraphicFramePr>
                  <a:graphicFrameLocks noChangeAspect="1"/>
                </wp:cNvGraphicFramePr>
                <a:graphic>
                  <a:graphicData uri="http://schemas.openxmlformats.org/drawingml/2006/picture">
                    <pic:pic>
                      <pic:nvPicPr>
                        <pic:cNvPr id="0" name="logo_wersja_2.png"/>
                        <pic:cNvPicPr/>
                      </pic:nvPicPr>
                      <pic:blipFill>
                        <a:blip r:embed="rId1"/>
                        <a:stretch>
                          <a:fillRect/>
                        </a:stretch>
                      </pic:blipFill>
                      <pic:spPr>
                        <a:xfrm>
                          <a:off x="0" y="0"/>
                          <a:ext cx="1080000" cy="400781"/>
                        </a:xfrm>
                        <a:prstGeom prst="rect"/>
                      </pic:spPr>
                    </pic:pic>
                  </a:graphicData>
                </a:graphic>
              </wp:inline>
            </w:drawing>
          </w:r>
        </w:p>
      </w:tc>
      <w:tc>
        <w:tcPr>
          <w:tcW w:type="dxa" w:w="4989"/>
          <w:tcBorders>
            <w:top w:val="single" w:sz="0" w:space="0" w:color="FFFFFF"/>
            <w:left w:val="single" w:sz="0" w:space="0" w:color="FFFFFF"/>
            <w:bottom w:val="single" w:sz="0" w:space="0" w:color="FFFFFF"/>
            <w:right w:val="single" w:sz="0" w:space="0" w:color="FFFFFF"/>
          </w:tcBorders>
          <w:tcMar>
            <w:top w:w="0" w:type="dxa"/>
            <w:start w:w="0" w:type="dxa"/>
            <w:bottom w:w="0" w:type="dxa"/>
            <w:end w:w="0" w:type="dxa"/>
          </w:tcMar>
        </w:tcPr>
        <w:p>
          <w:pPr>
            <w:jc w:val="right"/>
          </w:pPr>
          <w:r>
            <w:rPr>
              <w:rFonts w:ascii="Arial" w:hAnsi="Arial"/>
              <w:b/>
              <w:color w:val="1B3A4B"/>
              <w:sz w:val="17"/>
            </w:rPr>
            <w:t>Polityka cookies</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20"/>
    </w:pPr>
    <w:rPr>
      <w:rFonts w:ascii="Arial" w:hAnsi="Arial"/>
      <w:color w:val="1B2E3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Georgia" w:hAnsi="Georgia"/>
      <w:b/>
      <w:bCs/>
      <w:color w:val="1B3A4B"/>
      <w:sz w:val="33"/>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Georgia" w:hAnsi="Georgia"/>
      <w:b/>
      <w:bCs/>
      <w:color w:val="2A6070"/>
      <w:sz w:val="25"/>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Georgia" w:hAnsi="Georgia"/>
      <w:b/>
      <w:bCs/>
      <w:color w:val="1B3A4B"/>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00"/>
      <w:contextualSpacing/>
    </w:pPr>
    <w:rPr>
      <w:rFonts w:asciiTheme="majorHAnsi" w:eastAsiaTheme="majorEastAsia" w:hAnsiTheme="majorHAnsi" w:cstheme="majorBidi" w:ascii="Georgia" w:hAnsi="Georgia"/>
      <w:b/>
      <w:color w:val="1B3A4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polityka cookies bliska psychologia v1</dc:title>
  <dc:subject/>
  <dc:creator/>
  <cp:keywords/>
  <dc:description>Wersja przygotowana do publikacji w serwisie Bliska Psychologia.</dc:description>
  <cp:lastModifiedBy/>
  <cp:revision>1</cp:revision>
  <dcterms:created xsi:type="dcterms:W3CDTF">2013-12-23T23:15:00Z</dcterms:created>
  <dcterms:modified xsi:type="dcterms:W3CDTF">2013-12-23T23:15:00Z</dcterms:modified>
  <cp:category/>
</cp:coreProperties>
</file>